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270C09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  <w:r w:rsidRPr="00270C09">
        <w:rPr>
          <w:rFonts w:cs="Times New Roman"/>
          <w:sz w:val="28"/>
          <w:szCs w:val="28"/>
        </w:rPr>
        <w:t xml:space="preserve"> </w:t>
      </w: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«Производственная (педагогическая)»</w:t>
      </w:r>
    </w:p>
    <w:p w:rsidR="00292AB8" w:rsidRPr="00270C09" w:rsidRDefault="00292AB8" w:rsidP="00292A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92AB8" w:rsidRPr="00270C09" w:rsidRDefault="00292AB8" w:rsidP="00292A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92AB8" w:rsidRPr="00270C09" w:rsidRDefault="00292AB8" w:rsidP="00292A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92AB8" w:rsidRPr="00270C09" w:rsidRDefault="00292AB8" w:rsidP="00292A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292AB8" w:rsidRPr="00270C09" w:rsidRDefault="00292AB8" w:rsidP="00292A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51.03.03. Социально-культурная деятельность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Организация и постановка культурно-досуговых программ 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в сфере образования и культуры</w:t>
      </w: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6039" w:rsidRDefault="00166039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2AB8" w:rsidRPr="00270C09" w:rsidRDefault="00292AB8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292AB8" w:rsidRPr="00270C09" w:rsidRDefault="00CB3721" w:rsidP="00292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7158EC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166039" w:rsidRPr="00800803" w:rsidRDefault="00166039" w:rsidP="00166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AB8" w:rsidRPr="001162D4" w:rsidRDefault="00292AB8" w:rsidP="00292AB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Цель производственной (педагогической) практики – подготовка студентов к решению профессиональных задач в соответствии с профильной направленностью ОП бакалавриата и видами профессиональной деятельности на основе новейших достижений в сфере образования и культуры.</w:t>
      </w: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292AB8" w:rsidRPr="001162D4" w:rsidRDefault="00292AB8" w:rsidP="00292AB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Закрепление знаний, умений и навыков, полученных студентами в процессе изучения дисциплин программы бакалавриата.</w:t>
      </w:r>
    </w:p>
    <w:p w:rsidR="00292AB8" w:rsidRPr="001162D4" w:rsidRDefault="00292AB8" w:rsidP="00292A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готовности к применению в самостоятельной профессиональной деятельности знаний, умений и навыков, полученных в </w:t>
      </w:r>
      <w:r w:rsidRPr="001162D4">
        <w:rPr>
          <w:rFonts w:ascii="Times New Roman" w:hAnsi="Times New Roman"/>
          <w:sz w:val="24"/>
          <w:szCs w:val="24"/>
          <w:lang w:val="ru-RU"/>
        </w:rPr>
        <w:t>процессе изучения дисциплин программы бакалавриата.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92AB8" w:rsidRPr="001162D4" w:rsidRDefault="00292AB8" w:rsidP="00292AB8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2D4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sz w:val="24"/>
          <w:szCs w:val="24"/>
        </w:rPr>
        <w:t>профессиональной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sz w:val="24"/>
          <w:szCs w:val="24"/>
        </w:rPr>
        <w:t>рефлексии</w:t>
      </w:r>
      <w:proofErr w:type="spellEnd"/>
      <w:r w:rsidRPr="001162D4">
        <w:rPr>
          <w:rFonts w:ascii="Times New Roman" w:hAnsi="Times New Roman"/>
          <w:sz w:val="24"/>
          <w:szCs w:val="24"/>
        </w:rPr>
        <w:t>.</w:t>
      </w:r>
    </w:p>
    <w:p w:rsidR="00292AB8" w:rsidRPr="001162D4" w:rsidRDefault="00292AB8" w:rsidP="00292AB8">
      <w:pPr>
        <w:tabs>
          <w:tab w:val="left" w:pos="0"/>
        </w:tabs>
        <w:autoSpaceDE w:val="0"/>
        <w:spacing w:after="0" w:line="240" w:lineRule="auto"/>
        <w:ind w:left="89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92AB8" w:rsidRPr="001162D4" w:rsidRDefault="00292AB8" w:rsidP="00292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Место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структуре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программы</w:t>
      </w:r>
      <w:proofErr w:type="spellEnd"/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Производственная (педагогическая)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входит в цикл Б.2 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1162D4">
        <w:rPr>
          <w:rFonts w:ascii="Times New Roman" w:hAnsi="Times New Roman"/>
          <w:sz w:val="24"/>
          <w:szCs w:val="24"/>
          <w:lang w:val="ru-RU"/>
        </w:rPr>
        <w:t>проводится в 4 семестре.</w:t>
      </w:r>
    </w:p>
    <w:p w:rsidR="00292AB8" w:rsidRPr="001162D4" w:rsidRDefault="00292AB8" w:rsidP="00292AB8">
      <w:pPr>
        <w:tabs>
          <w:tab w:val="left" w:pos="375"/>
        </w:tabs>
        <w:autoSpaceDE w:val="0"/>
        <w:spacing w:after="0" w:line="240" w:lineRule="auto"/>
        <w:ind w:left="38" w:firstLine="671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92AB8" w:rsidRPr="001162D4" w:rsidRDefault="00292AB8" w:rsidP="00292AB8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деятельности.</w:t>
      </w:r>
    </w:p>
    <w:p w:rsidR="00292AB8" w:rsidRPr="001162D4" w:rsidRDefault="00292AB8" w:rsidP="00292AB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Производственная (педагогическая)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студентов, обучающихся по направлению «Социально-культурная деятельность», проводится в сторонних организациях, обладающих необходимым кадровым и научно-техническим потенциалом.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Традиционными базами 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sz w:val="24"/>
          <w:szCs w:val="24"/>
          <w:lang w:val="ru-RU"/>
        </w:rPr>
        <w:t>выступают ведущие учреждения социально-культурной сферы и образования города Москвы.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Производственная (педагогическая)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 проводится на 2 курсе (количество недель – 4) и завершается экзаменом.</w:t>
      </w:r>
    </w:p>
    <w:p w:rsidR="00292AB8" w:rsidRPr="001162D4" w:rsidRDefault="00292AB8" w:rsidP="00292AB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66039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166039" w:rsidRPr="00166039" w:rsidRDefault="00166039" w:rsidP="00166039">
      <w:pPr>
        <w:pStyle w:val="a6"/>
        <w:numPr>
          <w:ilvl w:val="0"/>
          <w:numId w:val="13"/>
        </w:numPr>
        <w:jc w:val="both"/>
      </w:pPr>
      <w:r w:rsidRPr="00166039">
        <w:t>разработка программно-методического обеспечения реализации дополнительной общеобразовательной программы;</w:t>
      </w:r>
    </w:p>
    <w:p w:rsidR="00166039" w:rsidRPr="00166039" w:rsidRDefault="00166039" w:rsidP="00166039">
      <w:pPr>
        <w:pStyle w:val="a6"/>
        <w:numPr>
          <w:ilvl w:val="0"/>
          <w:numId w:val="13"/>
        </w:numPr>
        <w:jc w:val="both"/>
      </w:pPr>
      <w:r w:rsidRPr="00166039">
        <w:t>руководство структурным подразделением, в состав которого входят специалисты по организации культурно-досуговой деятельности</w:t>
      </w:r>
      <w:r>
        <w:t>.</w:t>
      </w:r>
    </w:p>
    <w:p w:rsidR="00166039" w:rsidRDefault="00166039" w:rsidP="00166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6039" w:rsidRPr="00166039" w:rsidRDefault="00292AB8" w:rsidP="00166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166039" w:rsidRPr="00166039" w:rsidRDefault="00166039" w:rsidP="00166039">
      <w:pPr>
        <w:pStyle w:val="a6"/>
        <w:numPr>
          <w:ilvl w:val="0"/>
          <w:numId w:val="14"/>
        </w:numPr>
        <w:jc w:val="both"/>
      </w:pPr>
      <w:r w:rsidRPr="00166039"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166039" w:rsidRPr="00166039" w:rsidRDefault="00166039" w:rsidP="00166039">
      <w:pPr>
        <w:pStyle w:val="a6"/>
        <w:numPr>
          <w:ilvl w:val="0"/>
          <w:numId w:val="14"/>
        </w:numPr>
        <w:jc w:val="both"/>
      </w:pPr>
      <w:r w:rsidRPr="00166039">
        <w:t>организация разработки и реализации проектов (социально-культурных, творческих и др.) по профилю деятельности структурного подразделения.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ПК-8</w:t>
      </w:r>
    </w:p>
    <w:p w:rsidR="00166039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>Способность к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осуществл</w:t>
      </w:r>
      <w:r w:rsidRPr="00166039">
        <w:rPr>
          <w:rFonts w:ascii="Times New Roman" w:hAnsi="Times New Roman"/>
          <w:sz w:val="24"/>
          <w:szCs w:val="24"/>
          <w:lang w:val="ru-RU"/>
        </w:rPr>
        <w:t>ению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педагогическ</w:t>
      </w:r>
      <w:r w:rsidRPr="00166039">
        <w:rPr>
          <w:rFonts w:ascii="Times New Roman" w:hAnsi="Times New Roman"/>
          <w:sz w:val="24"/>
          <w:szCs w:val="24"/>
          <w:lang w:val="ru-RU"/>
        </w:rPr>
        <w:t>ой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деятельност</w:t>
      </w:r>
      <w:r w:rsidRPr="00166039">
        <w:rPr>
          <w:rFonts w:ascii="Times New Roman" w:hAnsi="Times New Roman"/>
          <w:sz w:val="24"/>
          <w:szCs w:val="24"/>
          <w:lang w:val="ru-RU"/>
        </w:rPr>
        <w:t>и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в учреждениях культуры,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учреждениях общего образования и среднего профессионального образования, учреждениях </w:t>
      </w:r>
      <w:r w:rsidRPr="00166039">
        <w:rPr>
          <w:rFonts w:ascii="Times New Roman" w:hAnsi="Times New Roman"/>
          <w:sz w:val="24"/>
          <w:szCs w:val="24"/>
          <w:lang w:val="ru-RU"/>
        </w:rPr>
        <w:t>дополнительного образования детей и взрослых и дополнительного профессионального образования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участ</w:t>
      </w:r>
      <w:r w:rsidRPr="00166039">
        <w:rPr>
          <w:rFonts w:ascii="Times New Roman" w:hAnsi="Times New Roman"/>
          <w:sz w:val="24"/>
          <w:szCs w:val="24"/>
          <w:lang w:val="ru-RU"/>
        </w:rPr>
        <w:t>ию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в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различных формах переподготовки и повышения квалификации специалистов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социально-культурной деятельности. </w:t>
      </w:r>
    </w:p>
    <w:p w:rsidR="00166039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lastRenderedPageBreak/>
        <w:t>Знает: теоретические основы педагогики досуга и дополнительного образования; формы переподготовки и повышения квалификации специалистов социально-культурной деятельности; техники и приемы вовлечения в деятельность, мотивации детей и взрослых к освоению избранного вида деятельности;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результатов.</w:t>
      </w:r>
    </w:p>
    <w:p w:rsidR="00166039" w:rsidRPr="00166039" w:rsidRDefault="00292AB8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Умеет: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использовать формы, средства и методы современной педагогической науки в практике социально-культурной деятельности; проводить педагогическое наблюдение, использовать различные методы, средства и приемы текущего контроля и обратной связи.</w:t>
      </w:r>
    </w:p>
    <w:p w:rsidR="00292AB8" w:rsidRPr="00166039" w:rsidRDefault="00292AB8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Владеет: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педагогическими технологиями в организации деятельности учреждений культуры, общеобразовательных учреждений, учреждений дополнительного образования; навыками разработки различных форм переподготовки и повышения квалификации специалистов социально-культурной деятельности.</w:t>
      </w:r>
    </w:p>
    <w:p w:rsidR="00166039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166039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ПК-24</w:t>
      </w:r>
    </w:p>
    <w:p w:rsidR="00166039" w:rsidRPr="00166039" w:rsidRDefault="00166039" w:rsidP="00292AB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к участию в разработке и обосновании проектов и программ развития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социально-культурной сферы.</w:t>
      </w:r>
    </w:p>
    <w:p w:rsidR="00166039" w:rsidRPr="00166039" w:rsidRDefault="00292AB8" w:rsidP="00292AB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Знает: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основы социально-культурного проектирования; характерные особенности проектов и программ развития социально-культурной сферы; направления и проблемы развития социально-культурной сферы на различных уровнях; методы социально-культурного проектирования.</w:t>
      </w:r>
    </w:p>
    <w:p w:rsidR="00292AB8" w:rsidRPr="00166039" w:rsidRDefault="00292AB8" w:rsidP="00292AB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Умеет: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разрабатывать план действий проектной группы по повышению эффективности разработки проектов и программ развития социально-культурной сферы; разрабатывать и реализовывать проекты по профилю деятельности структурного подразделения.</w:t>
      </w:r>
    </w:p>
    <w:p w:rsidR="00292AB8" w:rsidRPr="00166039" w:rsidRDefault="00292AB8" w:rsidP="00292A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Владеет: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умением   оценивать степень участия каждого члена проектной группы в разработке проектов и программ развития социально-культурной сферы; разрабатывает рекомендации к участию в конкурсах социально-культурных проектов на различных уровнях (международном, национальном, региональном, локальном).</w:t>
      </w: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ПК-2</w:t>
      </w:r>
      <w:r w:rsidR="00166039">
        <w:rPr>
          <w:rFonts w:ascii="Times New Roman" w:hAnsi="Times New Roman"/>
          <w:sz w:val="24"/>
          <w:szCs w:val="24"/>
          <w:lang w:val="ru-RU"/>
        </w:rPr>
        <w:t>6</w:t>
      </w:r>
    </w:p>
    <w:p w:rsidR="00166039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 xml:space="preserve"> к комплексной оценке социально-культурных проектов и программ, базовых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социально-культурных технологических систем (рекреационных, зрелищных, игровых,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информационных, просветительских, коммуникативных, реабилитационных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66039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Знает: методы и принципы комплексной оценки и экспертизы социально-культурных проектов и программ, базовых социально-культурных технологических систем; требования к разработке социально-культурных проектов и программ, базовых социально-культурных технологических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систем (рекреационных, зрелищных, игровых,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информационных, просветительских, коммуникативных, реабилитационных</w:t>
      </w:r>
      <w:r w:rsidRPr="00166039">
        <w:rPr>
          <w:rFonts w:ascii="Times New Roman" w:hAnsi="Times New Roman"/>
          <w:sz w:val="24"/>
          <w:szCs w:val="24"/>
          <w:lang w:val="ru-RU"/>
        </w:rPr>
        <w:t>).</w:t>
      </w:r>
    </w:p>
    <w:p w:rsidR="00292AB8" w:rsidRPr="00166039" w:rsidRDefault="00166039" w:rsidP="0016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Умеет: проводить комплексную оценку конкретных социально культурных проектов и программ, базовых социально-культурных технологических систем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(рекреационных, зрелищных, игровых,</w:t>
      </w:r>
      <w:r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039">
        <w:rPr>
          <w:rFonts w:ascii="Times New Roman" w:eastAsia="Calibri" w:hAnsi="Times New Roman"/>
          <w:sz w:val="24"/>
          <w:szCs w:val="24"/>
          <w:lang w:val="ru-RU"/>
        </w:rPr>
        <w:t>информационных, просветительских, коммуникативных, реабилитационных</w:t>
      </w:r>
      <w:r w:rsidRPr="00166039">
        <w:rPr>
          <w:rFonts w:ascii="Times New Roman" w:hAnsi="Times New Roman"/>
          <w:sz w:val="24"/>
          <w:szCs w:val="24"/>
          <w:lang w:val="ru-RU"/>
        </w:rPr>
        <w:t>); осуществлять внедрение систем управления качеством</w:t>
      </w:r>
      <w:r w:rsidR="00292AB8" w:rsidRPr="00166039">
        <w:rPr>
          <w:rFonts w:ascii="Times New Roman" w:hAnsi="Times New Roman"/>
          <w:sz w:val="24"/>
          <w:szCs w:val="24"/>
          <w:lang w:val="ru-RU"/>
        </w:rPr>
        <w:t>.</w:t>
      </w:r>
    </w:p>
    <w:p w:rsidR="00292AB8" w:rsidRPr="00166039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039">
        <w:rPr>
          <w:rFonts w:ascii="Times New Roman" w:hAnsi="Times New Roman"/>
          <w:sz w:val="24"/>
          <w:szCs w:val="24"/>
          <w:lang w:val="ru-RU"/>
        </w:rPr>
        <w:t xml:space="preserve">Владеет: 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 xml:space="preserve">технологиями разработки критериев комплексной оценки и экспертизы социально-культурных проектов и программ, базовых социально-культурных технологических систем  </w:t>
      </w:r>
      <w:r w:rsidR="00166039" w:rsidRPr="00166039">
        <w:rPr>
          <w:rFonts w:ascii="Times New Roman" w:eastAsia="Calibri" w:hAnsi="Times New Roman"/>
          <w:sz w:val="24"/>
          <w:szCs w:val="24"/>
          <w:lang w:val="ru-RU"/>
        </w:rPr>
        <w:t>(рекреационных, зрелищных, игровых,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6039" w:rsidRPr="00166039">
        <w:rPr>
          <w:rFonts w:ascii="Times New Roman" w:eastAsia="Calibri" w:hAnsi="Times New Roman"/>
          <w:sz w:val="24"/>
          <w:szCs w:val="24"/>
          <w:lang w:val="ru-RU"/>
        </w:rPr>
        <w:t>информационных, просветительских, коммуникативных, реабилитационных</w:t>
      </w:r>
      <w:r w:rsidR="00166039" w:rsidRPr="00166039">
        <w:rPr>
          <w:rFonts w:ascii="Times New Roman" w:hAnsi="Times New Roman"/>
          <w:sz w:val="24"/>
          <w:szCs w:val="24"/>
          <w:lang w:val="ru-RU"/>
        </w:rPr>
        <w:t>); методом комплексной  оценки конкретных социально-культурных проектов и программ, базовых социально-культурных технологических систем; технологией  практической проектной деятельности.</w:t>
      </w:r>
    </w:p>
    <w:p w:rsidR="00292AB8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03" w:rsidRPr="001162D4" w:rsidRDefault="00800803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2126"/>
        <w:gridCol w:w="1134"/>
        <w:gridCol w:w="1134"/>
        <w:gridCol w:w="1134"/>
        <w:gridCol w:w="1662"/>
      </w:tblGrid>
      <w:tr w:rsidR="00292AB8" w:rsidRPr="001162D4" w:rsidTr="00166039">
        <w:trPr>
          <w:trHeight w:val="1132"/>
          <w:jc w:val="center"/>
        </w:trPr>
        <w:tc>
          <w:tcPr>
            <w:tcW w:w="2940" w:type="dxa"/>
          </w:tcPr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1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11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зачетных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402" w:type="dxa"/>
            <w:gridSpan w:val="3"/>
          </w:tcPr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662" w:type="dxa"/>
          </w:tcPr>
          <w:p w:rsidR="00292AB8" w:rsidRPr="001162D4" w:rsidRDefault="00292AB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66039" w:rsidRPr="001162D4" w:rsidTr="00166039">
        <w:trPr>
          <w:trHeight w:val="511"/>
          <w:jc w:val="center"/>
        </w:trPr>
        <w:tc>
          <w:tcPr>
            <w:tcW w:w="2940" w:type="dxa"/>
          </w:tcPr>
          <w:p w:rsidR="00166039" w:rsidRPr="001162D4" w:rsidRDefault="00166039" w:rsidP="0016603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Ознакомительный</w:t>
            </w:r>
            <w:proofErr w:type="spellEnd"/>
            <w:r w:rsidRPr="001162D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26" w:type="dxa"/>
          </w:tcPr>
          <w:p w:rsidR="00166039" w:rsidRPr="001162D4" w:rsidRDefault="00166039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1134" w:type="dxa"/>
          </w:tcPr>
          <w:p w:rsidR="00166039" w:rsidRPr="001162D4" w:rsidRDefault="00166039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134" w:type="dxa"/>
          </w:tcPr>
          <w:p w:rsidR="00166039" w:rsidRPr="00166039" w:rsidRDefault="00166039" w:rsidP="001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166039" w:rsidRPr="00166039" w:rsidRDefault="00166039" w:rsidP="001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 w:rsidR="0080080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2" w:type="dxa"/>
          </w:tcPr>
          <w:p w:rsidR="00166039" w:rsidRPr="00166039" w:rsidRDefault="00166039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66039" w:rsidRPr="001162D4" w:rsidTr="00166039">
        <w:trPr>
          <w:trHeight w:val="319"/>
          <w:jc w:val="center"/>
        </w:trPr>
        <w:tc>
          <w:tcPr>
            <w:tcW w:w="2940" w:type="dxa"/>
          </w:tcPr>
          <w:p w:rsidR="00166039" w:rsidRPr="001162D4" w:rsidRDefault="00166039" w:rsidP="0016603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Самостоятельная</w:t>
            </w:r>
            <w:proofErr w:type="spellEnd"/>
            <w:r w:rsidRPr="001162D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педагогическая</w:t>
            </w:r>
            <w:proofErr w:type="spellEnd"/>
            <w:r w:rsidRPr="001162D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6" w:type="dxa"/>
          </w:tcPr>
          <w:p w:rsidR="00166039" w:rsidRPr="001162D4" w:rsidRDefault="00166039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108/3</w:t>
            </w:r>
          </w:p>
        </w:tc>
        <w:tc>
          <w:tcPr>
            <w:tcW w:w="1134" w:type="dxa"/>
          </w:tcPr>
          <w:p w:rsidR="00166039" w:rsidRPr="001162D4" w:rsidRDefault="00166039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134" w:type="dxa"/>
          </w:tcPr>
          <w:p w:rsidR="00166039" w:rsidRPr="00166039" w:rsidRDefault="00166039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166039" w:rsidRPr="00166039" w:rsidRDefault="00166039" w:rsidP="00B4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 w:rsidR="0080080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2" w:type="dxa"/>
          </w:tcPr>
          <w:p w:rsidR="00166039" w:rsidRPr="00166039" w:rsidRDefault="00166039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66039" w:rsidRPr="001162D4" w:rsidTr="00166039">
        <w:trPr>
          <w:jc w:val="center"/>
        </w:trPr>
        <w:tc>
          <w:tcPr>
            <w:tcW w:w="2940" w:type="dxa"/>
          </w:tcPr>
          <w:p w:rsidR="00166039" w:rsidRPr="001162D4" w:rsidRDefault="00166039" w:rsidP="0016603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Отчетный</w:t>
            </w:r>
            <w:proofErr w:type="spellEnd"/>
            <w:r w:rsidRPr="001162D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26" w:type="dxa"/>
          </w:tcPr>
          <w:p w:rsidR="00166039" w:rsidRPr="001162D4" w:rsidRDefault="00166039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166039" w:rsidRPr="001162D4" w:rsidRDefault="00166039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134" w:type="dxa"/>
          </w:tcPr>
          <w:p w:rsidR="00166039" w:rsidRPr="00166039" w:rsidRDefault="00166039" w:rsidP="00B4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166039" w:rsidRPr="00166039" w:rsidRDefault="00166039" w:rsidP="00B4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</w:t>
            </w:r>
            <w:r w:rsidR="0080080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2" w:type="dxa"/>
          </w:tcPr>
          <w:p w:rsidR="00166039" w:rsidRPr="00166039" w:rsidRDefault="00166039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292AB8" w:rsidRPr="001162D4" w:rsidRDefault="00292AB8" w:rsidP="00292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292AB8" w:rsidRPr="001162D4" w:rsidRDefault="00292AB8" w:rsidP="00292AB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составляет 216 часов, 6 зачетных единиц. </w:t>
      </w:r>
      <w:proofErr w:type="spellStart"/>
      <w:r w:rsidRPr="001162D4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1162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1162D4">
        <w:rPr>
          <w:rFonts w:ascii="Times New Roman" w:hAnsi="Times New Roman"/>
          <w:iCs/>
          <w:sz w:val="24"/>
          <w:szCs w:val="24"/>
        </w:rPr>
        <w:t xml:space="preserve"> – 4 </w:t>
      </w:r>
      <w:proofErr w:type="spellStart"/>
      <w:r w:rsidRPr="001162D4">
        <w:rPr>
          <w:rFonts w:ascii="Times New Roman" w:hAnsi="Times New Roman"/>
          <w:iCs/>
          <w:sz w:val="24"/>
          <w:szCs w:val="24"/>
        </w:rPr>
        <w:t>недели</w:t>
      </w:r>
      <w:proofErr w:type="spellEnd"/>
      <w:r w:rsidRPr="001162D4">
        <w:rPr>
          <w:rFonts w:ascii="Times New Roman" w:hAnsi="Times New Roman"/>
          <w:iCs/>
          <w:sz w:val="24"/>
          <w:szCs w:val="24"/>
        </w:rPr>
        <w:t>.</w:t>
      </w:r>
    </w:p>
    <w:p w:rsidR="00292AB8" w:rsidRPr="001162D4" w:rsidRDefault="00292AB8" w:rsidP="00292AB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92AB8" w:rsidRPr="001162D4" w:rsidRDefault="00292AB8" w:rsidP="00292AB8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Структура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содержание</w:t>
      </w:r>
      <w:proofErr w:type="spellEnd"/>
      <w:r w:rsidRPr="001162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292AB8" w:rsidRPr="001162D4" w:rsidRDefault="00292AB8" w:rsidP="00292AB8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44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2552"/>
      </w:tblGrid>
      <w:tr w:rsidR="00292AB8" w:rsidRPr="001162D4" w:rsidTr="009027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292AB8" w:rsidRPr="001162D4" w:rsidRDefault="00292AB8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292AB8" w:rsidRPr="001162D4" w:rsidRDefault="00292AB8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292AB8" w:rsidRPr="001162D4" w:rsidRDefault="00292AB8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292AB8" w:rsidRPr="001162D4" w:rsidTr="009027E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месту прохождения практики. Ознакомительная экскурсия, беседа с руководителем базового учреждения. </w:t>
            </w:r>
          </w:p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прохождения практики.</w:t>
            </w:r>
          </w:p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Сбор, анализ и систематизация   информации о деятельности базового учреждения.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292AB8" w:rsidRPr="001162D4" w:rsidTr="009027E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Второй этап – самостоятельная  педагогическая деятельность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Участие в разработке и реализации культурно-досуговых </w:t>
            </w:r>
            <w:r w:rsidRPr="001162D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программ. </w:t>
            </w:r>
          </w:p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поручений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292AB8" w:rsidRPr="001162D4" w:rsidTr="009027E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письменных отчетов о прохождении педагогической практики.</w:t>
            </w:r>
          </w:p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Выступления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итоговых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конференциях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B8" w:rsidRPr="001162D4" w:rsidRDefault="00292AB8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proofErr w:type="spellEnd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  <w:proofErr w:type="spellEnd"/>
          </w:p>
        </w:tc>
      </w:tr>
    </w:tbl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</w:rPr>
        <w:t xml:space="preserve">9.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окончании 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проводится итоговая конференция, на которой студенты выступают с отчетом о прохождении практики. </w:t>
      </w:r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292AB8" w:rsidRPr="001162D4" w:rsidRDefault="00292AB8" w:rsidP="00292AB8">
      <w:pPr>
        <w:numPr>
          <w:ilvl w:val="1"/>
          <w:numId w:val="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</w:t>
      </w:r>
      <w:proofErr w:type="spellEnd"/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292AB8" w:rsidRPr="001162D4" w:rsidRDefault="00292AB8" w:rsidP="00292AB8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292AB8" w:rsidRPr="001162D4" w:rsidRDefault="00292AB8" w:rsidP="00292AB8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292AB8" w:rsidRPr="001162D4" w:rsidRDefault="00292AB8" w:rsidP="00292AB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итогам 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студенту выставляется оценка.</w:t>
      </w:r>
    </w:p>
    <w:p w:rsidR="00292AB8" w:rsidRPr="001162D4" w:rsidRDefault="00292AB8" w:rsidP="00292AB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в ней могут использоваться: </w:t>
      </w:r>
    </w:p>
    <w:p w:rsidR="00292AB8" w:rsidRPr="001162D4" w:rsidRDefault="00292AB8" w:rsidP="00292A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различные современные педагогические технологии, в том числе – технологии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личностно-ориентированные, сотворчества, проблемного обучения, интегрированного обучения, проектной деятельности,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 (арт-терапевтические), коррекционные и другие;</w:t>
      </w:r>
    </w:p>
    <w:p w:rsidR="00292AB8" w:rsidRPr="001162D4" w:rsidRDefault="00292AB8" w:rsidP="00292A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</w:t>
      </w:r>
      <w:proofErr w:type="spellStart"/>
      <w:r w:rsidRPr="001162D4">
        <w:rPr>
          <w:rFonts w:ascii="Times New Roman" w:hAnsi="Times New Roman"/>
          <w:iCs/>
          <w:sz w:val="24"/>
          <w:szCs w:val="24"/>
          <w:lang w:val="ru-RU"/>
        </w:rPr>
        <w:t>цветотерапии</w:t>
      </w:r>
      <w:proofErr w:type="spellEnd"/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 w:rsidRPr="001162D4">
        <w:rPr>
          <w:rFonts w:ascii="Times New Roman" w:hAnsi="Times New Roman"/>
          <w:iCs/>
          <w:sz w:val="24"/>
          <w:szCs w:val="24"/>
          <w:lang w:val="ru-RU"/>
        </w:rPr>
        <w:t>психодрамы</w:t>
      </w:r>
      <w:proofErr w:type="spellEnd"/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и др. </w:t>
      </w: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11. Учебно-методическое обеспечение самостоятельной работы студентов на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задания для проведения аттестации по итогам </w:t>
      </w:r>
      <w:r w:rsidRPr="001162D4"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u w:val="single"/>
          <w:lang w:val="ru-RU"/>
        </w:rPr>
        <w:t>роизводственной (педагогической) практики</w:t>
      </w: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ознакомительный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92AB8" w:rsidRPr="001162D4" w:rsidRDefault="00292AB8" w:rsidP="00292AB8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Составить паспорт базы практики студента (парк культуры и отдыха, библиотека, музей, дом детского творчества, центр семейного досуга и др.).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92AB8" w:rsidRPr="001162D4" w:rsidRDefault="00292AB8" w:rsidP="00292AB8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292AB8" w:rsidRPr="001162D4" w:rsidRDefault="00292AB8" w:rsidP="00292AB8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досуговое мероприятие (информационное, выставочное, праздничное) с целью анализа его направленности на решение образовательных и культурно-просветительных задач в работе с разными группами населения. 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самостоятельная педагогическая деятельность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92AB8" w:rsidRPr="001162D4" w:rsidRDefault="00292AB8" w:rsidP="00292AB8">
      <w:pPr>
        <w:numPr>
          <w:ilvl w:val="0"/>
          <w:numId w:val="9"/>
        </w:numPr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right="-5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Принять участие в разработке культурно-досуговой 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программы образовательно-просветительной направленности (для любой возрастной группы). </w:t>
      </w:r>
    </w:p>
    <w:p w:rsidR="00292AB8" w:rsidRPr="001162D4" w:rsidRDefault="00292AB8" w:rsidP="00292AB8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Провести культурно-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досуговое 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мероприятие в базовом учреждении по разработанной программе.</w:t>
      </w:r>
    </w:p>
    <w:p w:rsidR="00292AB8" w:rsidRPr="001162D4" w:rsidRDefault="00292AB8" w:rsidP="00292AB8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Проанализировать проведенное мероприятие студентом и руководителем практики.</w:t>
      </w:r>
    </w:p>
    <w:p w:rsidR="00292AB8" w:rsidRPr="001162D4" w:rsidRDefault="00292AB8" w:rsidP="00292AB8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92AB8" w:rsidRPr="001162D4" w:rsidRDefault="00292AB8" w:rsidP="00292AB8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292AB8" w:rsidRPr="001162D4" w:rsidRDefault="00292AB8" w:rsidP="00292AB8">
      <w:pPr>
        <w:shd w:val="clear" w:color="auto" w:fill="FFFFFF"/>
        <w:tabs>
          <w:tab w:val="num" w:pos="-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292AB8" w:rsidRPr="001162D4" w:rsidRDefault="00292AB8" w:rsidP="00292AB8">
      <w:pPr>
        <w:numPr>
          <w:ilvl w:val="0"/>
          <w:numId w:val="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292AB8" w:rsidRPr="001162D4" w:rsidRDefault="00292AB8" w:rsidP="00292AB8">
      <w:pPr>
        <w:numPr>
          <w:ilvl w:val="0"/>
          <w:numId w:val="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292AB8" w:rsidRPr="001162D4" w:rsidRDefault="00292AB8" w:rsidP="00292AB8">
      <w:pPr>
        <w:shd w:val="clear" w:color="auto" w:fill="FFFFFF"/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292AB8" w:rsidRPr="001162D4" w:rsidRDefault="00292AB8" w:rsidP="00292AB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1162D4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11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62D4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: </w:t>
      </w:r>
    </w:p>
    <w:p w:rsidR="00292AB8" w:rsidRPr="001162D4" w:rsidRDefault="00292AB8" w:rsidP="00292AB8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1162D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1162D4">
        <w:rPr>
          <w:rFonts w:ascii="Times New Roman" w:hAnsi="Times New Roman"/>
          <w:sz w:val="24"/>
          <w:szCs w:val="24"/>
          <w:lang w:eastAsia="ru-RU"/>
        </w:rPr>
        <w:t>М.:</w:t>
      </w:r>
      <w:proofErr w:type="gramEnd"/>
      <w:r w:rsidRPr="001162D4">
        <w:rPr>
          <w:rFonts w:ascii="Times New Roman" w:hAnsi="Times New Roman"/>
          <w:sz w:val="24"/>
          <w:szCs w:val="24"/>
          <w:lang w:eastAsia="ru-RU"/>
        </w:rPr>
        <w:t xml:space="preserve"> МГПУ, 2015. – 71 с.</w:t>
      </w:r>
    </w:p>
    <w:p w:rsidR="00292AB8" w:rsidRPr="001162D4" w:rsidRDefault="00292AB8" w:rsidP="00292AB8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Стрельцов, Ю.А. Педагогика досуга: Учебное пособие для вузов культуры и искусств / Ю.А. Стрельцов, Е.Ю.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и доп. – М.: МГУКИ, 2010. – 307 с.</w:t>
      </w:r>
    </w:p>
    <w:p w:rsidR="00292AB8" w:rsidRPr="001162D4" w:rsidRDefault="00292AB8" w:rsidP="00292AB8">
      <w:pPr>
        <w:numPr>
          <w:ilvl w:val="0"/>
          <w:numId w:val="10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1162D4">
        <w:rPr>
          <w:rFonts w:ascii="Times New Roman" w:hAnsi="Times New Roman"/>
          <w:sz w:val="24"/>
          <w:szCs w:val="24"/>
        </w:rPr>
        <w:t xml:space="preserve">С.Ш. Умеркаева. – </w:t>
      </w:r>
      <w:proofErr w:type="gramStart"/>
      <w:r w:rsidRPr="001162D4">
        <w:rPr>
          <w:rFonts w:ascii="Times New Roman" w:hAnsi="Times New Roman"/>
          <w:sz w:val="24"/>
          <w:szCs w:val="24"/>
        </w:rPr>
        <w:t>М.:</w:t>
      </w:r>
      <w:proofErr w:type="gramEnd"/>
      <w:r w:rsidRPr="001162D4">
        <w:rPr>
          <w:rFonts w:ascii="Times New Roman" w:hAnsi="Times New Roman"/>
          <w:sz w:val="24"/>
          <w:szCs w:val="24"/>
        </w:rPr>
        <w:t xml:space="preserve"> МГПУ, 2014. – 164 с.  </w:t>
      </w:r>
    </w:p>
    <w:p w:rsidR="00292AB8" w:rsidRPr="001162D4" w:rsidRDefault="00292AB8" w:rsidP="00292AB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292AB8" w:rsidRPr="001162D4" w:rsidRDefault="00292AB8" w:rsidP="00292A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62D4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1162D4">
        <w:rPr>
          <w:rFonts w:ascii="Times New Roman" w:hAnsi="Times New Roman"/>
          <w:sz w:val="24"/>
          <w:szCs w:val="24"/>
        </w:rPr>
        <w:t>: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292AB8" w:rsidRPr="001162D4" w:rsidRDefault="00292AB8" w:rsidP="00292AB8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Л.Н. Как организовать дополнительное образование детей в школе?: Практическое </w:t>
      </w:r>
      <w:r w:rsidRPr="001162D4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пособие / Л.Н.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Н.В.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Кленова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М.: АРКТИ, 2005. – 288 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Великанова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Тамбов: Издательский дом ТГУ им. </w:t>
      </w:r>
      <w:r w:rsidRPr="001162D4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Pr="001162D4">
        <w:rPr>
          <w:rFonts w:ascii="Times New Roman" w:hAnsi="Times New Roman"/>
          <w:sz w:val="24"/>
          <w:szCs w:val="24"/>
        </w:rPr>
        <w:t>Державина</w:t>
      </w:r>
      <w:proofErr w:type="spellEnd"/>
      <w:r w:rsidRPr="001162D4">
        <w:rPr>
          <w:rFonts w:ascii="Times New Roman" w:hAnsi="Times New Roman"/>
          <w:sz w:val="24"/>
          <w:szCs w:val="24"/>
        </w:rPr>
        <w:t>, 2009. – 225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1162D4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1162D4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1162D4">
        <w:rPr>
          <w:rFonts w:ascii="Times New Roman" w:hAnsi="Times New Roman"/>
          <w:sz w:val="24"/>
          <w:szCs w:val="24"/>
        </w:rPr>
        <w:t>М.:</w:t>
      </w:r>
      <w:proofErr w:type="gramEnd"/>
      <w:r w:rsidRPr="0011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62D4">
        <w:rPr>
          <w:rFonts w:ascii="Times New Roman" w:hAnsi="Times New Roman"/>
          <w:sz w:val="24"/>
          <w:szCs w:val="24"/>
        </w:rPr>
        <w:t>изд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162D4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1162D4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1162D4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292AB8" w:rsidRPr="001162D4" w:rsidRDefault="00292AB8" w:rsidP="00292AB8">
      <w:pPr>
        <w:pStyle w:val="Default"/>
        <w:numPr>
          <w:ilvl w:val="0"/>
          <w:numId w:val="12"/>
        </w:numPr>
        <w:tabs>
          <w:tab w:val="left" w:pos="709"/>
        </w:tabs>
        <w:jc w:val="both"/>
        <w:rPr>
          <w:color w:val="auto"/>
          <w:lang w:val="ru-RU"/>
        </w:rPr>
      </w:pPr>
      <w:r w:rsidRPr="001162D4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1162D4">
        <w:rPr>
          <w:color w:val="auto"/>
          <w:lang w:val="ru-RU"/>
        </w:rPr>
        <w:t>Владос</w:t>
      </w:r>
      <w:proofErr w:type="spellEnd"/>
      <w:r w:rsidRPr="001162D4">
        <w:rPr>
          <w:color w:val="auto"/>
          <w:lang w:val="ru-RU"/>
        </w:rPr>
        <w:t xml:space="preserve">, 2004. – 221 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1162D4">
        <w:rPr>
          <w:rFonts w:ascii="Times New Roman" w:hAnsi="Times New Roman"/>
          <w:sz w:val="24"/>
          <w:szCs w:val="24"/>
        </w:rPr>
        <w:t>I</w:t>
      </w:r>
      <w:r w:rsidRPr="001162D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1162D4">
        <w:rPr>
          <w:rFonts w:ascii="Times New Roman" w:hAnsi="Times New Roman"/>
          <w:sz w:val="24"/>
          <w:szCs w:val="24"/>
        </w:rPr>
        <w:t>М.:</w:t>
      </w:r>
      <w:proofErr w:type="gramEnd"/>
      <w:r w:rsidRPr="001162D4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и доп. – М.: МГУКИ, 2003. – 234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Бирженюк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СПб.: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СПбГУП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2007. – 124 с. </w:t>
      </w:r>
    </w:p>
    <w:p w:rsidR="00292AB8" w:rsidRPr="001162D4" w:rsidRDefault="00292AB8" w:rsidP="00292AB8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Стрельцовой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М.: МГУКИ, 2000. – 344 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Новаторов, В.Е. Культурно-досуговая деятельность: Словарь-справочник / В.Е. Новаторов. – Омск: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гос. ин-т культуры, 1992. – 182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и доп. – М.: МГУКИ, 2010. – 158 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162D4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1162D4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162D4">
        <w:rPr>
          <w:rFonts w:ascii="Times New Roman" w:hAnsi="Times New Roman"/>
          <w:sz w:val="24"/>
          <w:szCs w:val="24"/>
        </w:rPr>
        <w:t>Тамбов</w:t>
      </w:r>
      <w:proofErr w:type="spellEnd"/>
      <w:r w:rsidRPr="001162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62D4">
        <w:rPr>
          <w:rFonts w:ascii="Times New Roman" w:hAnsi="Times New Roman"/>
          <w:sz w:val="24"/>
          <w:szCs w:val="24"/>
        </w:rPr>
        <w:t>Першина</w:t>
      </w:r>
      <w:proofErr w:type="spellEnd"/>
      <w:r w:rsidRPr="001162D4">
        <w:rPr>
          <w:rFonts w:ascii="Times New Roman" w:hAnsi="Times New Roman"/>
          <w:sz w:val="24"/>
          <w:szCs w:val="24"/>
        </w:rPr>
        <w:t>, 2004. – 512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ки РФ,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Фе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дер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гос. бюд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жет.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ват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учре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проф.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на</w:t>
      </w:r>
      <w:proofErr w:type="gramStart"/>
      <w:r w:rsidRPr="001162D4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  <w:r w:rsidRPr="001162D4">
        <w:rPr>
          <w:rFonts w:ascii="Times New Roman" w:hAnsi="Times New Roman"/>
          <w:sz w:val="24"/>
          <w:szCs w:val="24"/>
          <w:lang w:val="ru-RU"/>
        </w:rPr>
        <w:t xml:space="preserve"> под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1162D4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1162D4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lastRenderedPageBreak/>
        <w:t>Тульчинский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и доп. – СПб.: Лань, 2003. – 528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292AB8" w:rsidRPr="001162D4" w:rsidRDefault="00292AB8" w:rsidP="00292AB8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1162D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162D4">
        <w:rPr>
          <w:rFonts w:ascii="Times New Roman" w:hAnsi="Times New Roman"/>
          <w:sz w:val="24"/>
          <w:szCs w:val="24"/>
          <w:lang w:val="ru-RU"/>
        </w:rPr>
        <w:t>. и доп. – М.: МГУКИ, 2005. – 126 с.</w:t>
      </w: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1162D4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11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292AB8" w:rsidRPr="001162D4" w:rsidRDefault="00292AB8" w:rsidP="00292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AB8" w:rsidRPr="001162D4" w:rsidRDefault="00292AB8" w:rsidP="00292AB8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1162D4">
        <w:rPr>
          <w:rFonts w:ascii="Times New Roman" w:hAnsi="Times New Roman"/>
          <w:bCs/>
          <w:iCs/>
          <w:sz w:val="24"/>
          <w:szCs w:val="24"/>
        </w:rPr>
        <w:t>:</w:t>
      </w:r>
    </w:p>
    <w:p w:rsidR="00292AB8" w:rsidRPr="001162D4" w:rsidRDefault="007158EC" w:rsidP="00292AB8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292AB8" w:rsidRPr="001162D4" w:rsidRDefault="00292AB8" w:rsidP="00292AB8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292AB8" w:rsidRPr="001162D4" w:rsidRDefault="00DD74A1" w:rsidP="00292AB8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http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revolution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allbest</w:t>
        </w:r>
        <w:proofErr w:type="spellEnd"/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ru</w:t>
        </w:r>
        <w:proofErr w:type="spellEnd"/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sociology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292AB8" w:rsidRPr="001162D4">
          <w:rPr>
            <w:rStyle w:val="a3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92AB8" w:rsidRPr="001162D4" w:rsidRDefault="00292AB8" w:rsidP="00292AB8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1162D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292AB8" w:rsidRPr="001162D4" w:rsidRDefault="00292AB8" w:rsidP="00292AB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 (педагогической)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>необходимо следующее материально-техническое обеспечение:</w:t>
      </w:r>
    </w:p>
    <w:p w:rsidR="00292AB8" w:rsidRPr="001162D4" w:rsidRDefault="00292AB8" w:rsidP="00292AB8">
      <w:pPr>
        <w:numPr>
          <w:ilvl w:val="0"/>
          <w:numId w:val="7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162D4">
        <w:rPr>
          <w:rFonts w:ascii="Times New Roman" w:hAnsi="Times New Roman"/>
          <w:iCs/>
          <w:sz w:val="24"/>
          <w:szCs w:val="24"/>
        </w:rPr>
        <w:t>учебные</w:t>
      </w:r>
      <w:proofErr w:type="spellEnd"/>
      <w:r w:rsidRPr="001162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162D4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1162D4">
        <w:rPr>
          <w:rFonts w:ascii="Times New Roman" w:hAnsi="Times New Roman"/>
          <w:iCs/>
          <w:sz w:val="24"/>
          <w:szCs w:val="24"/>
        </w:rPr>
        <w:t>;</w:t>
      </w:r>
    </w:p>
    <w:p w:rsidR="00292AB8" w:rsidRPr="001162D4" w:rsidRDefault="00292AB8" w:rsidP="00292AB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1162D4">
        <w:rPr>
          <w:rFonts w:ascii="Times New Roman" w:hAnsi="Times New Roman"/>
          <w:spacing w:val="-1"/>
          <w:sz w:val="24"/>
          <w:szCs w:val="24"/>
        </w:rPr>
        <w:t>DVD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292AB8" w:rsidRPr="001162D4" w:rsidRDefault="00292AB8" w:rsidP="00292AB8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292AB8" w:rsidRPr="001162D4" w:rsidRDefault="00292AB8" w:rsidP="00292A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43A93" w:rsidRPr="00292AB8" w:rsidRDefault="00E43A93">
      <w:pPr>
        <w:rPr>
          <w:lang w:val="ru-RU"/>
        </w:rPr>
      </w:pPr>
    </w:p>
    <w:sectPr w:rsidR="00E43A93" w:rsidRPr="00292AB8" w:rsidSect="00166039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8C0"/>
    <w:multiLevelType w:val="hybridMultilevel"/>
    <w:tmpl w:val="F7201B2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5A90348"/>
    <w:multiLevelType w:val="hybridMultilevel"/>
    <w:tmpl w:val="2A3EF928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1532C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3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5" w15:restartNumberingAfterBreak="0">
    <w:nsid w:val="3FB123CD"/>
    <w:multiLevelType w:val="hybridMultilevel"/>
    <w:tmpl w:val="5B4AB5B0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A9622F"/>
    <w:multiLevelType w:val="hybridMultilevel"/>
    <w:tmpl w:val="C0A27956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BA7"/>
    <w:multiLevelType w:val="hybridMultilevel"/>
    <w:tmpl w:val="07D4950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1" w15:restartNumberingAfterBreak="0">
    <w:nsid w:val="70A66603"/>
    <w:multiLevelType w:val="hybridMultilevel"/>
    <w:tmpl w:val="828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5C2"/>
    <w:multiLevelType w:val="hybridMultilevel"/>
    <w:tmpl w:val="BDE22B26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423"/>
    <w:rsid w:val="00166039"/>
    <w:rsid w:val="00180EA6"/>
    <w:rsid w:val="00292AB8"/>
    <w:rsid w:val="00515423"/>
    <w:rsid w:val="007158EC"/>
    <w:rsid w:val="00723E47"/>
    <w:rsid w:val="00800803"/>
    <w:rsid w:val="00BB4C11"/>
    <w:rsid w:val="00CB3721"/>
    <w:rsid w:val="00DD74A1"/>
    <w:rsid w:val="00E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92D6-07DC-496F-83D5-5B7D661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B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2AB8"/>
    <w:pPr>
      <w:spacing w:after="0"/>
      <w:ind w:firstLine="851"/>
    </w:pPr>
    <w:rPr>
      <w:noProof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2AB8"/>
    <w:rPr>
      <w:rFonts w:ascii="Calibri" w:eastAsia="Times New Roman" w:hAnsi="Calibri" w:cs="Times New Roman"/>
      <w:noProof/>
      <w:szCs w:val="20"/>
      <w:lang w:val="en-US" w:eastAsia="ru-RU"/>
    </w:rPr>
  </w:style>
  <w:style w:type="paragraph" w:customStyle="1" w:styleId="Default">
    <w:name w:val="Default"/>
    <w:rsid w:val="00292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0"/>
    <w:rsid w:val="00292AB8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292AB8"/>
    <w:rPr>
      <w:rFonts w:ascii="Times New Roman" w:hAnsi="Times New Roman"/>
      <w:spacing w:val="10"/>
      <w:sz w:val="18"/>
    </w:rPr>
  </w:style>
  <w:style w:type="character" w:customStyle="1" w:styleId="nobr1">
    <w:name w:val="nobr1"/>
    <w:basedOn w:val="a0"/>
    <w:rsid w:val="00292AB8"/>
  </w:style>
  <w:style w:type="paragraph" w:customStyle="1" w:styleId="31">
    <w:name w:val="Основной текст 31"/>
    <w:basedOn w:val="a"/>
    <w:rsid w:val="00292AB8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16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3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1660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2497</Words>
  <Characters>14234</Characters>
  <Application>Microsoft Office Word</Application>
  <DocSecurity>0</DocSecurity>
  <Lines>118</Lines>
  <Paragraphs>33</Paragraphs>
  <ScaleCrop>false</ScaleCrop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8</cp:revision>
  <dcterms:created xsi:type="dcterms:W3CDTF">2016-11-03T13:56:00Z</dcterms:created>
  <dcterms:modified xsi:type="dcterms:W3CDTF">2018-10-25T10:35:00Z</dcterms:modified>
</cp:coreProperties>
</file>