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CE" w:rsidRPr="00504820" w:rsidRDefault="00F54569" w:rsidP="00951693">
      <w:pPr>
        <w:keepNext/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alias w:val="Учредитель образовательной организации"/>
          <w:tag w:val="EducationalOrganizationFounder"/>
          <w:id w:val="717781150"/>
          <w:placeholder>
            <w:docPart w:val="FE7EC96C7A7943FC8A21826F02AF6DD2"/>
          </w:placeholder>
        </w:sdtPr>
        <w:sdtEndPr/>
        <w:sdtContent>
          <w:r w:rsidR="00102ACE" w:rsidRPr="00504820">
            <w:rPr>
              <w:sz w:val="28"/>
              <w:szCs w:val="28"/>
            </w:rPr>
            <w:t>Департамент образования города Москвы</w:t>
          </w:r>
        </w:sdtContent>
      </w:sdt>
    </w:p>
    <w:p w:rsidR="00102ACE" w:rsidRPr="00504820" w:rsidRDefault="00102ACE" w:rsidP="00951693">
      <w:pPr>
        <w:keepNext/>
        <w:jc w:val="center"/>
        <w:rPr>
          <w:sz w:val="28"/>
          <w:szCs w:val="28"/>
        </w:rPr>
      </w:pPr>
      <w:r w:rsidRPr="00504820">
        <w:rPr>
          <w:sz w:val="28"/>
          <w:szCs w:val="28"/>
        </w:rPr>
        <w:t xml:space="preserve">Государственное </w:t>
      </w:r>
      <w:r w:rsidR="004A2ACE">
        <w:rPr>
          <w:sz w:val="28"/>
          <w:szCs w:val="28"/>
        </w:rPr>
        <w:t>автономное</w:t>
      </w:r>
      <w:r w:rsidRPr="00504820">
        <w:rPr>
          <w:sz w:val="28"/>
          <w:szCs w:val="28"/>
        </w:rPr>
        <w:t xml:space="preserve"> образовательное учреждение</w:t>
      </w:r>
    </w:p>
    <w:p w:rsidR="00102ACE" w:rsidRPr="00504820" w:rsidRDefault="00102ACE" w:rsidP="00951693">
      <w:pPr>
        <w:keepNext/>
        <w:jc w:val="center"/>
        <w:rPr>
          <w:sz w:val="28"/>
          <w:szCs w:val="28"/>
        </w:rPr>
      </w:pPr>
      <w:r w:rsidRPr="00504820">
        <w:rPr>
          <w:sz w:val="28"/>
          <w:szCs w:val="28"/>
        </w:rPr>
        <w:t>высшего образования города Москвы</w:t>
      </w:r>
    </w:p>
    <w:p w:rsidR="00102ACE" w:rsidRPr="00504820" w:rsidRDefault="00102ACE" w:rsidP="00951693">
      <w:pPr>
        <w:keepNext/>
        <w:jc w:val="center"/>
        <w:rPr>
          <w:sz w:val="28"/>
          <w:szCs w:val="28"/>
        </w:rPr>
      </w:pPr>
      <w:r w:rsidRPr="00504820">
        <w:rPr>
          <w:sz w:val="28"/>
          <w:szCs w:val="28"/>
        </w:rPr>
        <w:t>«</w:t>
      </w:r>
      <w:sdt>
        <w:sdtPr>
          <w:rPr>
            <w:sz w:val="28"/>
            <w:szCs w:val="28"/>
          </w:rPr>
          <w:alias w:val="Наименование образовательной организации"/>
          <w:tag w:val="EducationalOrganizationName"/>
          <w:id w:val="-1771305100"/>
          <w:placeholder>
            <w:docPart w:val="A74BA64C1F1A499CA682110B129C959A"/>
          </w:placeholder>
        </w:sdtPr>
        <w:sdtEndPr/>
        <w:sdtContent>
          <w:r w:rsidRPr="00504820">
            <w:rPr>
              <w:sz w:val="28"/>
              <w:szCs w:val="28"/>
            </w:rPr>
            <w:t>Московский городской педагогический университет</w:t>
          </w:r>
        </w:sdtContent>
      </w:sdt>
      <w:r w:rsidRPr="00504820">
        <w:rPr>
          <w:sz w:val="28"/>
          <w:szCs w:val="28"/>
        </w:rPr>
        <w:t>»</w:t>
      </w:r>
    </w:p>
    <w:sdt>
      <w:sdtPr>
        <w:rPr>
          <w:sz w:val="28"/>
          <w:szCs w:val="28"/>
        </w:rPr>
        <w:alias w:val="Наименование учебного структурного подразделения"/>
        <w:tag w:val="DepartmentName"/>
        <w:id w:val="-1415772030"/>
        <w:placeholder>
          <w:docPart w:val="22580A3F022B41009201F56652389BBD"/>
        </w:placeholder>
      </w:sdtPr>
      <w:sdtEndPr/>
      <w:sdtContent>
        <w:p w:rsidR="00102ACE" w:rsidRPr="000708E7" w:rsidRDefault="00102ACE" w:rsidP="00951693">
          <w:pPr>
            <w:keepNext/>
            <w:jc w:val="center"/>
            <w:rPr>
              <w:sz w:val="28"/>
              <w:szCs w:val="28"/>
            </w:rPr>
          </w:pPr>
          <w:r w:rsidRPr="000708E7">
            <w:rPr>
              <w:sz w:val="28"/>
              <w:szCs w:val="28"/>
            </w:rPr>
            <w:t>Институт экономики, управления и права</w:t>
          </w:r>
        </w:p>
      </w:sdtContent>
    </w:sdt>
    <w:p w:rsidR="00102ACE" w:rsidRPr="000708E7" w:rsidRDefault="00F54569" w:rsidP="00951693">
      <w:pPr>
        <w:keepNext/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alias w:val="Наименование кафедры практики"/>
          <w:tag w:val="PracticeChairTitle"/>
          <w:id w:val="304519493"/>
          <w:placeholder>
            <w:docPart w:val="D8B0EF5400114713A8DE2D3364EBB62B"/>
          </w:placeholder>
        </w:sdtPr>
        <w:sdtEndPr/>
        <w:sdtContent>
          <w:sdt>
            <w:sdtPr>
              <w:rPr>
                <w:sz w:val="28"/>
                <w:szCs w:val="28"/>
              </w:rPr>
              <w:alias w:val="Наименование кафедры практики"/>
              <w:tag w:val="PracticeChairTitle"/>
              <w:id w:val="-1861042409"/>
              <w:placeholder>
                <w:docPart w:val="3DFB87D687F94AB19CC6802E3C5758E1"/>
              </w:placeholder>
            </w:sdtPr>
            <w:sdtEndPr/>
            <w:sdtContent>
              <w:r w:rsidR="0015703A">
                <w:rPr>
                  <w:sz w:val="28"/>
                  <w:szCs w:val="28"/>
                </w:rPr>
                <w:t>Д</w:t>
              </w:r>
              <w:r w:rsidR="00102ACE" w:rsidRPr="000708E7">
                <w:rPr>
                  <w:sz w:val="28"/>
                  <w:szCs w:val="28"/>
                </w:rPr>
                <w:t>епартамент права</w:t>
              </w:r>
            </w:sdtContent>
          </w:sdt>
        </w:sdtContent>
      </w:sdt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</w:p>
    <w:p w:rsidR="00102ACE" w:rsidRPr="000708E7" w:rsidRDefault="00102ACE" w:rsidP="00951693">
      <w:pPr>
        <w:keepNext/>
        <w:rPr>
          <w:sz w:val="28"/>
          <w:szCs w:val="28"/>
        </w:rPr>
      </w:pPr>
    </w:p>
    <w:p w:rsidR="00102ACE" w:rsidRPr="000708E7" w:rsidRDefault="00102ACE" w:rsidP="00951693">
      <w:pPr>
        <w:keepNext/>
        <w:jc w:val="center"/>
        <w:rPr>
          <w:b/>
          <w:sz w:val="28"/>
          <w:szCs w:val="28"/>
        </w:rPr>
      </w:pPr>
    </w:p>
    <w:p w:rsidR="00102ACE" w:rsidRPr="000708E7" w:rsidRDefault="00102ACE" w:rsidP="00951693">
      <w:pPr>
        <w:keepNext/>
        <w:jc w:val="center"/>
      </w:pPr>
    </w:p>
    <w:p w:rsidR="00102ACE" w:rsidRPr="00504820" w:rsidRDefault="00102ACE" w:rsidP="00951693">
      <w:pPr>
        <w:keepNext/>
        <w:jc w:val="center"/>
        <w:rPr>
          <w:sz w:val="28"/>
          <w:szCs w:val="28"/>
        </w:rPr>
      </w:pPr>
      <w:r w:rsidRPr="00504820">
        <w:rPr>
          <w:sz w:val="28"/>
          <w:szCs w:val="28"/>
        </w:rPr>
        <w:t>РАБОЧАЯ ПРОГРАММА</w:t>
      </w:r>
    </w:p>
    <w:p w:rsidR="00102ACE" w:rsidRPr="00504820" w:rsidRDefault="00102ACE" w:rsidP="00951693">
      <w:pPr>
        <w:keepNext/>
        <w:jc w:val="center"/>
        <w:rPr>
          <w:sz w:val="28"/>
          <w:szCs w:val="28"/>
        </w:rPr>
      </w:pPr>
      <w:r w:rsidRPr="00504820">
        <w:rPr>
          <w:sz w:val="28"/>
          <w:szCs w:val="28"/>
        </w:rPr>
        <w:t>Учебная практика</w:t>
      </w:r>
      <w:bookmarkStart w:id="0" w:name="_GoBack"/>
      <w:bookmarkEnd w:id="0"/>
    </w:p>
    <w:p w:rsidR="00102ACE" w:rsidRPr="00504820" w:rsidRDefault="00102ACE" w:rsidP="00951693">
      <w:pPr>
        <w:keepNext/>
        <w:jc w:val="center"/>
        <w:rPr>
          <w:sz w:val="28"/>
          <w:szCs w:val="28"/>
        </w:rPr>
      </w:pPr>
      <w:r w:rsidRPr="00504820">
        <w:rPr>
          <w:sz w:val="28"/>
          <w:szCs w:val="28"/>
        </w:rPr>
        <w:t xml:space="preserve"> Направление подготовки</w:t>
      </w:r>
    </w:p>
    <w:p w:rsidR="00102ACE" w:rsidRPr="00504820" w:rsidRDefault="00102ACE" w:rsidP="00951693">
      <w:pPr>
        <w:keepNext/>
        <w:jc w:val="center"/>
        <w:rPr>
          <w:b/>
          <w:sz w:val="28"/>
          <w:szCs w:val="28"/>
        </w:rPr>
      </w:pPr>
      <w:r w:rsidRPr="00504820">
        <w:rPr>
          <w:b/>
          <w:sz w:val="28"/>
          <w:szCs w:val="28"/>
        </w:rPr>
        <w:t>40.03.01 - Юриспруденция</w:t>
      </w:r>
    </w:p>
    <w:p w:rsidR="00102ACE" w:rsidRPr="00504820" w:rsidRDefault="00102ACE" w:rsidP="00951693">
      <w:pPr>
        <w:keepNext/>
        <w:jc w:val="center"/>
        <w:rPr>
          <w:b/>
          <w:sz w:val="28"/>
          <w:szCs w:val="28"/>
        </w:rPr>
      </w:pPr>
    </w:p>
    <w:p w:rsidR="00102ACE" w:rsidRPr="00504820" w:rsidRDefault="00102ACE" w:rsidP="00951693">
      <w:pPr>
        <w:keepNext/>
        <w:jc w:val="center"/>
        <w:rPr>
          <w:sz w:val="28"/>
          <w:szCs w:val="28"/>
        </w:rPr>
      </w:pPr>
      <w:r w:rsidRPr="00504820">
        <w:rPr>
          <w:sz w:val="28"/>
          <w:szCs w:val="28"/>
        </w:rPr>
        <w:t>Направленность (профиль) образовательной программы</w:t>
      </w:r>
    </w:p>
    <w:p w:rsidR="00102ACE" w:rsidRPr="000708E7" w:rsidRDefault="00102ACE" w:rsidP="00951693">
      <w:pPr>
        <w:keepNext/>
        <w:jc w:val="center"/>
        <w:rPr>
          <w:b/>
          <w:sz w:val="28"/>
          <w:szCs w:val="28"/>
        </w:rPr>
      </w:pPr>
      <w:r w:rsidRPr="000708E7">
        <w:rPr>
          <w:b/>
          <w:sz w:val="28"/>
          <w:szCs w:val="28"/>
        </w:rPr>
        <w:t>Юриспруденция</w:t>
      </w:r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</w:p>
    <w:p w:rsidR="00102ACE" w:rsidRPr="000708E7" w:rsidRDefault="00102ACE" w:rsidP="004A2ACE">
      <w:pPr>
        <w:keepNext/>
        <w:rPr>
          <w:sz w:val="28"/>
          <w:szCs w:val="28"/>
        </w:rPr>
      </w:pPr>
    </w:p>
    <w:p w:rsidR="004A2ACE" w:rsidRPr="000708E7" w:rsidRDefault="004A2ACE" w:rsidP="004A2ACE">
      <w:pPr>
        <w:keepNext/>
        <w:rPr>
          <w:sz w:val="28"/>
          <w:szCs w:val="28"/>
        </w:rPr>
      </w:pPr>
    </w:p>
    <w:p w:rsidR="004A2ACE" w:rsidRPr="000708E7" w:rsidRDefault="004A2ACE" w:rsidP="004A2ACE">
      <w:pPr>
        <w:keepNext/>
        <w:rPr>
          <w:sz w:val="28"/>
          <w:szCs w:val="28"/>
        </w:rPr>
      </w:pPr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</w:p>
    <w:p w:rsidR="00102ACE" w:rsidRPr="000708E7" w:rsidRDefault="00102ACE" w:rsidP="00951693">
      <w:pPr>
        <w:keepNext/>
        <w:jc w:val="center"/>
        <w:rPr>
          <w:sz w:val="28"/>
          <w:szCs w:val="28"/>
        </w:rPr>
      </w:pPr>
      <w:r w:rsidRPr="00504820">
        <w:rPr>
          <w:sz w:val="28"/>
          <w:szCs w:val="28"/>
        </w:rPr>
        <w:t>Москва</w:t>
      </w:r>
    </w:p>
    <w:p w:rsidR="00A44257" w:rsidRPr="000708E7" w:rsidRDefault="000708E7" w:rsidP="004A2ACE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</w:p>
    <w:p w:rsidR="00B67D4E" w:rsidRPr="000708E7" w:rsidRDefault="00B67D4E" w:rsidP="00A44257">
      <w:pPr>
        <w:spacing w:after="120"/>
      </w:pPr>
    </w:p>
    <w:p w:rsidR="00B502ED" w:rsidRPr="000708E7" w:rsidRDefault="00A25DCA" w:rsidP="00951693">
      <w:pPr>
        <w:pageBreakBefore/>
        <w:spacing w:after="120"/>
      </w:pPr>
      <w:r w:rsidRPr="000708E7">
        <w:lastRenderedPageBreak/>
        <w:t>1</w:t>
      </w:r>
      <w:r w:rsidR="00B502ED" w:rsidRPr="000708E7">
        <w:t xml:space="preserve">. </w:t>
      </w:r>
      <w:r w:rsidR="00B502ED" w:rsidRPr="00504820">
        <w:t>Цели</w:t>
      </w:r>
      <w:r w:rsidR="00B502ED" w:rsidRPr="000708E7">
        <w:t xml:space="preserve"> </w:t>
      </w:r>
      <w:r w:rsidR="00B502ED" w:rsidRPr="00504820">
        <w:t>практики</w:t>
      </w:r>
      <w:r w:rsidR="00102ACE" w:rsidRPr="000708E7">
        <w:t>:</w:t>
      </w:r>
      <w:r w:rsidR="00B502ED" w:rsidRPr="000708E7">
        <w:t xml:space="preserve"> </w:t>
      </w:r>
      <w:r w:rsidR="00102ACE" w:rsidRPr="000708E7">
        <w:t>формирование компетенций по направлению подготовки 40.03.01 Юриспруденция путем осуществления практической юридической деятельности в органах власти и иных организациях, повышение качества профессиональной подготовки обучающихся. Учебная практика нацелена на получение первичных профессиональных умений и навыков.</w:t>
      </w:r>
    </w:p>
    <w:p w:rsidR="00A25DCA" w:rsidRPr="000708E7" w:rsidRDefault="00A25DCA" w:rsidP="00B502ED">
      <w:pPr>
        <w:spacing w:after="120"/>
      </w:pPr>
      <w:r w:rsidRPr="000708E7">
        <w:t>2</w:t>
      </w:r>
      <w:r w:rsidR="00B502ED" w:rsidRPr="000708E7">
        <w:t xml:space="preserve">. </w:t>
      </w:r>
      <w:r w:rsidR="00B502ED" w:rsidRPr="00504820">
        <w:t>Задачи</w:t>
      </w:r>
      <w:r w:rsidR="00393D9E" w:rsidRPr="000708E7">
        <w:t xml:space="preserve"> </w:t>
      </w:r>
      <w:r w:rsidR="00B502ED" w:rsidRPr="00504820">
        <w:t>практики</w:t>
      </w:r>
      <w:r w:rsidR="00102ACE" w:rsidRPr="000708E7">
        <w:t>: - получение первичных профессиональных умений и опыта профессиональной деятельности;</w:t>
      </w:r>
      <w:r w:rsidR="00102ACE" w:rsidRPr="000708E7">
        <w:br/>
        <w:t>- закрепление и систематизация полученных знаний в процессе изучения деятельности органов власти, иных органов (организаций), избранных в качестве места прохождения практики;</w:t>
      </w:r>
      <w:r w:rsidR="00102ACE" w:rsidRPr="000708E7">
        <w:br/>
        <w:t xml:space="preserve">- развитие юридической культуры, как важнейшего условия успешного решения задач будущей профессиональной деятельности; </w:t>
      </w:r>
      <w:r w:rsidR="00102ACE" w:rsidRPr="000708E7">
        <w:br/>
        <w:t>- изучение передового опыта по направлению подготовки "Юриспруденция";</w:t>
      </w:r>
      <w:r w:rsidR="00102ACE" w:rsidRPr="000708E7">
        <w:br/>
        <w:t>- развитие умения комплексно использовать в повседневной работе знания юридических дисциплин;</w:t>
      </w:r>
      <w:r w:rsidR="00102ACE" w:rsidRPr="000708E7">
        <w:br/>
        <w:t>- овладение навыками организации рабочего процесса;</w:t>
      </w:r>
      <w:r w:rsidR="00102ACE" w:rsidRPr="000708E7">
        <w:br/>
        <w:t>- получение дополнительной информации об особенностях толкования некоторых норм права и об особенностях разрешения различных юридических коллизий компетентными должностными лицами тех государственных (муниципальных) органов, в которых студенты проходят практику;</w:t>
      </w:r>
      <w:r w:rsidR="00102ACE" w:rsidRPr="000708E7">
        <w:br/>
        <w:t>- изучение принципов построения информационно-правовых баз данных, применяемых в конкретной организации (учреждении), особенностей функционирования, приобретение практического опыта их применения;</w:t>
      </w:r>
      <w:r w:rsidR="00102ACE" w:rsidRPr="000708E7">
        <w:br/>
        <w:t>- изучение конкретной учебной и другой деловой документации.</w:t>
      </w:r>
    </w:p>
    <w:p w:rsidR="00B502ED" w:rsidRPr="000708E7" w:rsidRDefault="00A25DCA" w:rsidP="00B502ED">
      <w:pPr>
        <w:spacing w:after="120"/>
      </w:pPr>
      <w:r w:rsidRPr="000708E7">
        <w:t>3</w:t>
      </w:r>
      <w:r w:rsidR="00B502ED" w:rsidRPr="000708E7">
        <w:t xml:space="preserve">. </w:t>
      </w:r>
      <w:r w:rsidR="008D2469" w:rsidRPr="00504820">
        <w:rPr>
          <w:shd w:val="clear" w:color="auto" w:fill="FFFFFF"/>
        </w:rPr>
        <w:t>Указание</w:t>
      </w:r>
      <w:r w:rsidR="008D2469" w:rsidRPr="000708E7">
        <w:rPr>
          <w:shd w:val="clear" w:color="auto" w:fill="FFFFFF"/>
        </w:rPr>
        <w:t xml:space="preserve"> </w:t>
      </w:r>
      <w:r w:rsidR="008D2469" w:rsidRPr="00504820">
        <w:rPr>
          <w:shd w:val="clear" w:color="auto" w:fill="FFFFFF"/>
        </w:rPr>
        <w:t>места</w:t>
      </w:r>
      <w:r w:rsidR="008D2469" w:rsidRPr="000708E7">
        <w:rPr>
          <w:shd w:val="clear" w:color="auto" w:fill="FFFFFF"/>
        </w:rPr>
        <w:t xml:space="preserve"> </w:t>
      </w:r>
      <w:r w:rsidR="008D2469" w:rsidRPr="00504820">
        <w:rPr>
          <w:shd w:val="clear" w:color="auto" w:fill="FFFFFF"/>
        </w:rPr>
        <w:t>практики</w:t>
      </w:r>
      <w:r w:rsidR="008D2469" w:rsidRPr="000708E7">
        <w:rPr>
          <w:shd w:val="clear" w:color="auto" w:fill="FFFFFF"/>
        </w:rPr>
        <w:t xml:space="preserve"> </w:t>
      </w:r>
      <w:r w:rsidR="008D2469" w:rsidRPr="00504820">
        <w:rPr>
          <w:shd w:val="clear" w:color="auto" w:fill="FFFFFF"/>
        </w:rPr>
        <w:t>в</w:t>
      </w:r>
      <w:r w:rsidR="008D2469" w:rsidRPr="000708E7">
        <w:rPr>
          <w:shd w:val="clear" w:color="auto" w:fill="FFFFFF"/>
        </w:rPr>
        <w:t xml:space="preserve"> </w:t>
      </w:r>
      <w:r w:rsidR="008D2469" w:rsidRPr="00504820">
        <w:rPr>
          <w:shd w:val="clear" w:color="auto" w:fill="FFFFFF"/>
        </w:rPr>
        <w:t>структуре</w:t>
      </w:r>
      <w:r w:rsidR="008D2469" w:rsidRPr="000708E7">
        <w:rPr>
          <w:shd w:val="clear" w:color="auto" w:fill="FFFFFF"/>
        </w:rPr>
        <w:t xml:space="preserve"> </w:t>
      </w:r>
      <w:r w:rsidR="008D2469" w:rsidRPr="00504820">
        <w:rPr>
          <w:shd w:val="clear" w:color="auto" w:fill="FFFFFF"/>
        </w:rPr>
        <w:t>образовательной</w:t>
      </w:r>
      <w:r w:rsidR="008D2469" w:rsidRPr="000708E7">
        <w:rPr>
          <w:shd w:val="clear" w:color="auto" w:fill="FFFFFF"/>
        </w:rPr>
        <w:t xml:space="preserve"> </w:t>
      </w:r>
      <w:r w:rsidR="008D2469" w:rsidRPr="00504820">
        <w:rPr>
          <w:shd w:val="clear" w:color="auto" w:fill="FFFFFF"/>
        </w:rPr>
        <w:t>программы</w:t>
      </w:r>
      <w:r w:rsidRPr="000708E7">
        <w:t>:</w:t>
      </w:r>
      <w:r w:rsidR="00B502ED" w:rsidRPr="000708E7">
        <w:t xml:space="preserve">  </w:t>
      </w:r>
      <w:r w:rsidR="00102ACE" w:rsidRPr="000708E7">
        <w:t xml:space="preserve">2 </w:t>
      </w:r>
      <w:r w:rsidR="00102ACE" w:rsidRPr="00504820">
        <w:t>курс</w:t>
      </w:r>
      <w:r w:rsidR="00102ACE" w:rsidRPr="000708E7">
        <w:t xml:space="preserve">, 4 </w:t>
      </w:r>
      <w:r w:rsidR="00102ACE" w:rsidRPr="00504820">
        <w:t>семестр</w:t>
      </w:r>
    </w:p>
    <w:p w:rsidR="008D2469" w:rsidRPr="00504820" w:rsidRDefault="00961E15" w:rsidP="008D2469">
      <w:pPr>
        <w:spacing w:after="120"/>
      </w:pPr>
      <w:r w:rsidRPr="00504820">
        <w:t>4</w:t>
      </w:r>
      <w:r w:rsidR="00B502ED" w:rsidRPr="00504820">
        <w:t xml:space="preserve">. </w:t>
      </w:r>
      <w:r w:rsidR="008D2469" w:rsidRPr="00504820">
        <w:rPr>
          <w:shd w:val="clear" w:color="auto" w:fill="FFFFFF"/>
        </w:rPr>
        <w:t>Указание вида практики, способа и формы (форм) ее проведения</w:t>
      </w:r>
      <w:r w:rsidR="008D2469" w:rsidRPr="00504820">
        <w:br/>
        <w:t>Вид практики</w:t>
      </w:r>
      <w:r w:rsidR="00102ACE" w:rsidRPr="00504820">
        <w:t>: Учебная практика</w:t>
      </w:r>
    </w:p>
    <w:p w:rsidR="008D2469" w:rsidRPr="00504820" w:rsidRDefault="008D2469" w:rsidP="008D2469">
      <w:pPr>
        <w:spacing w:after="120"/>
      </w:pPr>
      <w:r w:rsidRPr="00504820">
        <w:t>Тип практики</w:t>
      </w:r>
      <w:r w:rsidR="00102ACE" w:rsidRPr="00504820">
        <w:t>:</w:t>
      </w:r>
      <w:r w:rsidRPr="00504820">
        <w:t xml:space="preserve"> </w:t>
      </w:r>
      <w:r w:rsidR="00102ACE" w:rsidRPr="00504820">
        <w:t>Ознакомительная практика</w:t>
      </w:r>
    </w:p>
    <w:p w:rsidR="00B502ED" w:rsidRPr="00504820" w:rsidRDefault="00B502ED" w:rsidP="00B502ED">
      <w:pPr>
        <w:spacing w:after="120"/>
      </w:pPr>
      <w:r w:rsidRPr="00504820">
        <w:t>Способы и формы проведения практики</w:t>
      </w:r>
      <w:r w:rsidR="007A41C7" w:rsidRPr="00504820">
        <w:t xml:space="preserve">: </w:t>
      </w:r>
      <w:r w:rsidR="00102ACE" w:rsidRPr="00504820">
        <w:t>стационарная, рассредоточенная.</w:t>
      </w:r>
    </w:p>
    <w:p w:rsidR="000325F4" w:rsidRPr="00504820" w:rsidRDefault="000325F4" w:rsidP="000325F4">
      <w:pPr>
        <w:jc w:val="both"/>
        <w:rPr>
          <w:shd w:val="clear" w:color="auto" w:fill="FFFFFF"/>
        </w:rPr>
      </w:pPr>
      <w:r w:rsidRPr="00504820">
        <w:t xml:space="preserve">5. </w:t>
      </w:r>
      <w:r w:rsidRPr="00504820">
        <w:rPr>
          <w:shd w:val="clear" w:color="auto" w:fill="FFFFFF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tbl>
      <w:tblPr>
        <w:tblStyle w:val="NormalTablePHPDOCX"/>
        <w:tblW w:w="5000" w:type="pct"/>
        <w:tblBorders>
          <w:top w:val="double" w:sz="5" w:space="0" w:color="000000"/>
          <w:left w:val="double" w:sz="5" w:space="0" w:color="000000"/>
          <w:bottom w:val="double" w:sz="5" w:space="0" w:color="000000"/>
          <w:right w:val="double" w:sz="5" w:space="0" w:color="000000"/>
        </w:tblBorders>
        <w:tblLook w:val="04A0" w:firstRow="1" w:lastRow="0" w:firstColumn="1" w:lastColumn="0" w:noHBand="0" w:noVBand="1"/>
      </w:tblPr>
      <w:tblGrid>
        <w:gridCol w:w="1746"/>
        <w:gridCol w:w="7597"/>
      </w:tblGrid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pPr>
              <w:spacing w:before="240" w:after="240"/>
              <w:jc w:val="center"/>
              <w:textAlignment w:val="top"/>
            </w:pPr>
            <w:r>
              <w:rPr>
                <w:rFonts w:eastAsia="Times New Roman"/>
                <w:b/>
                <w:bCs/>
                <w:color w:val="000000"/>
              </w:rPr>
              <w:t>Код компетенции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pPr>
              <w:spacing w:before="240" w:after="240"/>
              <w:jc w:val="center"/>
              <w:textAlignment w:val="top"/>
            </w:pPr>
            <w:r>
              <w:rPr>
                <w:rFonts w:eastAsia="Times New Roman"/>
                <w:b/>
                <w:bCs/>
                <w:color w:val="000000"/>
              </w:rPr>
              <w:t>Наименование компетенции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ОПК-1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Способен анализировать основные закономерности формирования, функционирования и развития права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ОПК-2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Способен применять нормы материального и процессуального права при решении задач профессиональной деятельности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ОПК-3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Способен участвовать в экспертной юридической деятельности в рамках поставленной задачи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ОПК-4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Способен профессионально толковать нормы права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ОПК-5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ОПК-6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lastRenderedPageBreak/>
              <w:t>ОПК-7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Способен соблюдать принципы этики юриста, в том числе в части антикоррупционных стандартов поведения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ОПК-8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УК-1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УК-10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УК-11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УК-2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УК-3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УК-4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УК-5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УК-6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УК-8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</w:tbl>
    <w:p w:rsidR="00B137BF" w:rsidRPr="00504820" w:rsidRDefault="00B137BF" w:rsidP="00102ACE">
      <w:pPr>
        <w:widowControl w:val="0"/>
        <w:spacing w:after="120"/>
        <w:jc w:val="both"/>
      </w:pPr>
    </w:p>
    <w:p w:rsidR="00BB0772" w:rsidRPr="00504820" w:rsidRDefault="000325F4" w:rsidP="00951693">
      <w:pPr>
        <w:spacing w:before="120" w:after="120"/>
      </w:pPr>
      <w:r w:rsidRPr="00504820">
        <w:t>6. У</w:t>
      </w:r>
      <w:r w:rsidRPr="00504820">
        <w:rPr>
          <w:shd w:val="clear" w:color="auto" w:fill="FFFFFF"/>
        </w:rPr>
        <w:t xml:space="preserve">казание объема практики в зачетных единицах и ее продолжительности в неделях либо в академических или астрономических часах: </w:t>
      </w:r>
    </w:p>
    <w:tbl>
      <w:tblPr>
        <w:tblStyle w:val="NormalTablePHPDOCX"/>
        <w:tblW w:w="5000" w:type="pct"/>
        <w:tblBorders>
          <w:top w:val="double" w:sz="5" w:space="0" w:color="000000"/>
          <w:left w:val="double" w:sz="5" w:space="0" w:color="000000"/>
          <w:bottom w:val="double" w:sz="5" w:space="0" w:color="000000"/>
          <w:right w:val="double" w:sz="5" w:space="0" w:color="000000"/>
        </w:tblBorders>
        <w:tblLook w:val="04A0" w:firstRow="1" w:lastRow="0" w:firstColumn="1" w:lastColumn="0" w:noHBand="0" w:noVBand="1"/>
      </w:tblPr>
      <w:tblGrid>
        <w:gridCol w:w="2803"/>
        <w:gridCol w:w="934"/>
        <w:gridCol w:w="5606"/>
      </w:tblGrid>
      <w:tr w:rsidR="00AB36E7">
        <w:tc>
          <w:tcPr>
            <w:tcW w:w="15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Вид учебной работы</w:t>
            </w:r>
          </w:p>
        </w:tc>
        <w:tc>
          <w:tcPr>
            <w:tcW w:w="5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Часов</w:t>
            </w:r>
            <w:r>
              <w:rPr>
                <w:rFonts w:eastAsia="Times New Roman"/>
                <w:b/>
                <w:bCs/>
                <w:color w:val="000000"/>
              </w:rPr>
              <w:br/>
              <w:t>(по видам работ)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Семестры</w:t>
            </w:r>
          </w:p>
        </w:tc>
      </w:tr>
      <w:tr w:rsidR="00AB36E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36E7" w:rsidRDefault="00AB36E7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36E7" w:rsidRDefault="00AB36E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b/>
                <w:bCs/>
                <w:color w:val="000000"/>
              </w:rPr>
              <w:t>Контактная работа (всего)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pPr>
              <w:spacing w:before="240" w:after="240"/>
              <w:textAlignment w:val="top"/>
            </w:pPr>
            <w:r>
              <w:rPr>
                <w:rFonts w:eastAsia="Times New Roman"/>
                <w:color w:val="000000"/>
              </w:rPr>
              <w:t>Консультации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pPr>
              <w:jc w:val="center"/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pPr>
              <w:jc w:val="center"/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pPr>
              <w:spacing w:before="240" w:after="240"/>
              <w:textAlignment w:val="top"/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>Самостоятельная работа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</w:rPr>
              <w:t>140</w:t>
            </w:r>
          </w:p>
        </w:tc>
      </w:tr>
      <w:tr w:rsidR="00AB36E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r>
              <w:rPr>
                <w:rFonts w:eastAsia="Times New Roman"/>
                <w:color w:val="000000"/>
              </w:rPr>
              <w:t>Всего, часов/зачетных единиц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pPr>
              <w:jc w:val="center"/>
            </w:pPr>
            <w:r>
              <w:rPr>
                <w:rFonts w:eastAsia="Times New Roman"/>
                <w:color w:val="000000"/>
              </w:rPr>
              <w:t>144 / 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5" w:type="dxa"/>
              <w:bottom w:w="45" w:type="dxa"/>
            </w:tcMar>
          </w:tcPr>
          <w:p w:rsidR="00AB36E7" w:rsidRDefault="004E62EC">
            <w:pPr>
              <w:jc w:val="center"/>
            </w:pPr>
            <w:r>
              <w:rPr>
                <w:rFonts w:eastAsia="Times New Roman"/>
                <w:color w:val="000000"/>
              </w:rPr>
              <w:t>144 / 4</w:t>
            </w:r>
          </w:p>
        </w:tc>
      </w:tr>
    </w:tbl>
    <w:p w:rsidR="00B137BF" w:rsidRPr="00A61BDD" w:rsidRDefault="00B137BF" w:rsidP="00B502ED">
      <w:pPr>
        <w:jc w:val="both"/>
        <w:rPr>
          <w:lang w:val="en-US"/>
        </w:rPr>
      </w:pPr>
    </w:p>
    <w:p w:rsidR="00A01E3A" w:rsidRPr="00A61BDD" w:rsidRDefault="000325F4" w:rsidP="00B502ED">
      <w:pPr>
        <w:spacing w:after="120"/>
        <w:rPr>
          <w:lang w:val="en-US"/>
        </w:rPr>
      </w:pPr>
      <w:r w:rsidRPr="00A61BDD">
        <w:rPr>
          <w:lang w:val="en-US"/>
        </w:rPr>
        <w:t>7</w:t>
      </w:r>
      <w:r w:rsidR="00B502ED" w:rsidRPr="00A61BDD">
        <w:rPr>
          <w:lang w:val="en-US"/>
        </w:rPr>
        <w:t xml:space="preserve">. </w:t>
      </w:r>
      <w:r w:rsidR="00B502ED" w:rsidRPr="00504820">
        <w:t>С</w:t>
      </w:r>
      <w:r w:rsidR="00097761" w:rsidRPr="00504820">
        <w:t>труктура</w:t>
      </w:r>
      <w:r w:rsidR="00097761" w:rsidRPr="00A61BDD">
        <w:rPr>
          <w:lang w:val="en-US"/>
        </w:rPr>
        <w:t xml:space="preserve"> </w:t>
      </w:r>
      <w:r w:rsidR="00097761" w:rsidRPr="00504820">
        <w:t>и</w:t>
      </w:r>
      <w:r w:rsidR="00097761" w:rsidRPr="00A61BDD">
        <w:rPr>
          <w:lang w:val="en-US"/>
        </w:rPr>
        <w:t xml:space="preserve"> </w:t>
      </w:r>
      <w:r w:rsidR="00097761" w:rsidRPr="00504820">
        <w:t>с</w:t>
      </w:r>
      <w:r w:rsidR="00B502ED" w:rsidRPr="00504820">
        <w:t>одержание</w:t>
      </w:r>
      <w:r w:rsidR="00C95400" w:rsidRPr="00A61BDD">
        <w:rPr>
          <w:lang w:val="en-US"/>
        </w:rPr>
        <w:t xml:space="preserve"> </w:t>
      </w:r>
      <w:r w:rsidR="00B502ED" w:rsidRPr="00A61BDD">
        <w:rPr>
          <w:lang w:val="en-US"/>
        </w:rPr>
        <w:t xml:space="preserve"> </w:t>
      </w:r>
      <w:r w:rsidR="00B502ED" w:rsidRPr="00504820">
        <w:t>практики</w:t>
      </w:r>
    </w:p>
    <w:p w:rsidR="0009780C" w:rsidRPr="000708E7" w:rsidRDefault="00335608" w:rsidP="00335608">
      <w:pPr>
        <w:spacing w:after="120"/>
      </w:pPr>
      <w:r w:rsidRPr="000708E7">
        <w:t>1.</w:t>
      </w:r>
      <w:r w:rsidRPr="000708E7">
        <w:tab/>
        <w:t>1. Подготовительный этап</w:t>
      </w:r>
      <w:r w:rsidRPr="000708E7">
        <w:br/>
        <w:t>На этом этапе факультетским руководителем практики совместно с групповыми руководителями проводится установочная конференция, на которой обучающиеся знакомятся с целями, задачами, содержанием, формами организации и порядком прохождения учебной практики. На конференции зачитывается распоряжение о распределении студентов по базам практики и закрепление за групповыми руководителями практик. Обучающиеся знакомятся с программой практики. Сообщается о важнейших документах, регламентирующих работу органа власти или организации. Студентов информируют о требованиях охраны труда во время прохождения практики, техники безопасности и правилами внутреннего трудового распорядка профильных учреждений.</w:t>
      </w:r>
      <w:r w:rsidRPr="000708E7">
        <w:br/>
        <w:t>2.</w:t>
      </w:r>
      <w:r w:rsidRPr="000708E7">
        <w:tab/>
        <w:t>2. Основной этап</w:t>
      </w:r>
      <w:r w:rsidRPr="000708E7">
        <w:br/>
        <w:t>Данный этап направлен на организацию и реализацию задач развития у обучающихся соответствующих общекультурных, общепрофессиональных и профессиональных компетенций. Обучающиеся выполняют отдельные виды работ в профильной организации в соответствии с индивидуальным заданием практики, изучают практику применения действующего законодательства в органе власти или иной организации, в которой непосредственно проходят практику.</w:t>
      </w:r>
      <w:r w:rsidRPr="000708E7">
        <w:br/>
        <w:t>Во время прохождения учебной практики бакалавр обязан: а) подчиняться правилам внутреннего распорядка организации; б) соблюдать установленный в организации режим работы; в) полностью и добросовестно выполнять все указания руководителя практики, назначенного от базы практики; г) ежедневно вести дневник практики; д) в случае возникновения непредвиденных обстоятельств или неясностей сообщать о них незамедлительно руководителю практики от университета;</w:t>
      </w:r>
      <w:r w:rsidRPr="000708E7">
        <w:br/>
        <w:t>своевременно предоставить на кафедру и защитить отчет по практике. Продолжительность рабочего дня при прохождении практики определяется в соответствии с трудовым законодательством: для лиц от 18 лет и старше – не более 40 часов в неделю. Независимо от вида практики и базы ее прохождения, практиканту следует ознакомиться и отразить в отчете: цели и задачи практики (в соответствии с программой практики); сроки практики; статус (правовое положение) органа власти или иной организации, ее цели, задачи, связи подчиненности (система взаимодействия с другими органами управления, хозяйствующими субъектами), краткая история становления и развития; нормативные документы, регламентирующие деятельность принимающей организации (нормативные правовые акты, локальные правовые акты, в том числе учредительные документы, положения о структурных подразделениях, должностные инструкции и др.); правила делопроизводства, принципы организации и основные направления деятельности, полномочия организации; организационную структуру организации; права, обязанности и функции основных структурных подразделений (органов управления) и должностных лиц; анализ соответствия выполняемой работы служебным (уставным) функциям и задачам, подробно описать все виды юридической деятельности, осуществляемые во время практики, выводы по итогам прохождения практики.</w:t>
      </w:r>
      <w:r w:rsidRPr="000708E7">
        <w:br/>
        <w:t>3.</w:t>
      </w:r>
      <w:r w:rsidRPr="000708E7">
        <w:tab/>
        <w:t>3. Итоговый этап</w:t>
      </w:r>
      <w:r w:rsidRPr="000708E7">
        <w:br/>
      </w:r>
      <w:r w:rsidRPr="000708E7">
        <w:lastRenderedPageBreak/>
        <w:t>Данный этап является заключительным и направлен на оформление отчетных документов.</w:t>
      </w:r>
      <w:r w:rsidRPr="000708E7">
        <w:br/>
        <w:t>По итогам практики бакалавры представляют на кафедру (не позднее одного дня до проведения итоговой конференции) заполненный дневник, отчет о прохождении практики, отзыв, подписанный и заверенной печатью той организации, в которой обучающийся проодил практику. Обучающийся защищает подготовленный отчет по практике на кафедре непосредственно у своего группового руководителя практики от института. Проводится анализ прохождения практики и подведение итогов, выставляется оценка за практику.</w:t>
      </w:r>
      <w:r w:rsidRPr="000708E7">
        <w:br/>
      </w:r>
      <w:r w:rsidRPr="004A2ACE">
        <w:rPr>
          <w:lang w:val="en-US"/>
        </w:rPr>
        <w:t xml:space="preserve">Отчет должен быть правильно оформлен. </w:t>
      </w:r>
      <w:r w:rsidRPr="000708E7">
        <w:t xml:space="preserve">К отчету предъявляются следующие требования по оформлению: шрифт – </w:t>
      </w:r>
      <w:r w:rsidRPr="004A2ACE">
        <w:rPr>
          <w:lang w:val="en-US"/>
        </w:rPr>
        <w:t>Times</w:t>
      </w:r>
      <w:r w:rsidRPr="000708E7">
        <w:t xml:space="preserve"> </w:t>
      </w:r>
      <w:r w:rsidRPr="004A2ACE">
        <w:rPr>
          <w:lang w:val="en-US"/>
        </w:rPr>
        <w:t>New</w:t>
      </w:r>
      <w:r w:rsidRPr="000708E7">
        <w:t xml:space="preserve"> </w:t>
      </w:r>
      <w:r w:rsidRPr="004A2ACE">
        <w:rPr>
          <w:lang w:val="en-US"/>
        </w:rPr>
        <w:t>Roman</w:t>
      </w:r>
      <w:r w:rsidRPr="000708E7">
        <w:t xml:space="preserve">, параметры страницы – верхнее поле – 2см., нижнее поле – 2 см., левое поле – 2 см., правое поле – 1 см., выравнивание по ширине. Размер текста – 14 кегль, без автоматических переносов; междустрочный интервал – полуторный; абзацный отступ (табуляция) – 1,25 см. </w:t>
      </w:r>
      <w:r w:rsidRPr="0015703A">
        <w:t xml:space="preserve">Страницы в отчете подлежат обязательной нумерации. </w:t>
      </w:r>
      <w:r w:rsidRPr="000708E7">
        <w:t>Первая страница – это титульный лист (номер страницы не ставится).</w:t>
      </w:r>
      <w:r w:rsidRPr="000708E7">
        <w:br/>
        <w:t>Объем отчета – не менее 7 страниц. Отчет по практике должен быть системным и содержательным.</w:t>
      </w:r>
      <w:r w:rsidRPr="000708E7">
        <w:br/>
      </w:r>
    </w:p>
    <w:p w:rsidR="00E73C43" w:rsidRPr="000708E7" w:rsidRDefault="00E73C43" w:rsidP="00401987">
      <w:pPr>
        <w:rPr>
          <w:b/>
        </w:rPr>
      </w:pPr>
    </w:p>
    <w:p w:rsidR="00AB36E7" w:rsidRDefault="004E62EC">
      <w:r>
        <w:rPr>
          <w:color w:val="000000"/>
        </w:rPr>
        <w:t xml:space="preserve">   </w:t>
      </w:r>
    </w:p>
    <w:p w:rsidR="00416D1A" w:rsidRPr="000708E7" w:rsidRDefault="00153720" w:rsidP="000476E1">
      <w:pPr>
        <w:rPr>
          <w:b/>
        </w:rPr>
      </w:pPr>
      <w:r w:rsidRPr="000708E7">
        <w:rPr>
          <w:b/>
        </w:rPr>
        <w:t xml:space="preserve"> </w:t>
      </w:r>
    </w:p>
    <w:p w:rsidR="00AB36E7" w:rsidRDefault="004E62EC">
      <w:r>
        <w:rPr>
          <w:color w:val="000000"/>
        </w:rPr>
        <w:t xml:space="preserve">   </w:t>
      </w:r>
    </w:p>
    <w:p w:rsidR="00416D1A" w:rsidRPr="000708E7" w:rsidRDefault="00153720" w:rsidP="000476E1">
      <w:pPr>
        <w:rPr>
          <w:b/>
        </w:rPr>
      </w:pPr>
      <w:r w:rsidRPr="000708E7">
        <w:rPr>
          <w:b/>
        </w:rPr>
        <w:t xml:space="preserve"> </w:t>
      </w:r>
    </w:p>
    <w:p w:rsidR="00AB36E7" w:rsidRDefault="004E62EC">
      <w:r>
        <w:rPr>
          <w:color w:val="000000"/>
        </w:rPr>
        <w:t xml:space="preserve">   </w:t>
      </w:r>
    </w:p>
    <w:p w:rsidR="00B502ED" w:rsidRDefault="000867DE" w:rsidP="00D83427">
      <w:r>
        <w:t>8</w:t>
      </w:r>
      <w:r w:rsidR="00B502ED" w:rsidRPr="00A61BDD">
        <w:t xml:space="preserve">. </w:t>
      </w:r>
      <w:r w:rsidR="00B502ED" w:rsidRPr="00504820">
        <w:t>Формы</w:t>
      </w:r>
      <w:r w:rsidR="00B502ED" w:rsidRPr="00A61BDD">
        <w:t xml:space="preserve"> </w:t>
      </w:r>
      <w:r w:rsidR="00B502ED" w:rsidRPr="00504820">
        <w:t>отчетности</w:t>
      </w:r>
      <w:r w:rsidR="00B502ED" w:rsidRPr="00A61BDD">
        <w:t xml:space="preserve"> </w:t>
      </w:r>
      <w:r w:rsidR="00B502ED" w:rsidRPr="00504820">
        <w:t>обучающихся</w:t>
      </w:r>
      <w:r w:rsidR="00B502ED" w:rsidRPr="00A61BDD">
        <w:t xml:space="preserve"> </w:t>
      </w:r>
      <w:r w:rsidR="00B502ED" w:rsidRPr="00504820">
        <w:t>по</w:t>
      </w:r>
      <w:r w:rsidR="00B502ED" w:rsidRPr="00A61BDD">
        <w:t xml:space="preserve"> </w:t>
      </w:r>
      <w:r w:rsidR="0018686E" w:rsidRPr="00504820">
        <w:t>практике</w:t>
      </w:r>
    </w:p>
    <w:p w:rsidR="000151CA" w:rsidRPr="000151CA" w:rsidRDefault="000151CA" w:rsidP="00D83427">
      <w:pPr>
        <w:rPr>
          <w:rFonts w:eastAsia="Times New Roman"/>
        </w:rPr>
      </w:pPr>
      <w:r>
        <w:rPr>
          <w:rFonts w:eastAsia="Times New Roman"/>
        </w:rPr>
        <w:t>Отчетная документация по практике включает в себя следующие документы:</w:t>
      </w:r>
    </w:p>
    <w:p w:rsidR="0018686E" w:rsidRPr="00A61BDD" w:rsidRDefault="00503377" w:rsidP="00B502ED">
      <w:pPr>
        <w:spacing w:after="120"/>
      </w:pPr>
      <w:r w:rsidRPr="00A61BDD">
        <w:t xml:space="preserve"> - Отчет обучающегося по практике</w:t>
      </w:r>
      <w:r w:rsidRPr="00A61BDD">
        <w:br/>
        <w:t xml:space="preserve"> - Дневник по практике</w:t>
      </w:r>
      <w:r w:rsidRPr="00A61BDD">
        <w:br/>
      </w:r>
    </w:p>
    <w:p w:rsidR="00B502ED" w:rsidRPr="00504820" w:rsidRDefault="000867DE" w:rsidP="00B502ED">
      <w:pPr>
        <w:spacing w:after="120"/>
        <w:jc w:val="both"/>
      </w:pPr>
      <w:r>
        <w:t>9</w:t>
      </w:r>
      <w:r w:rsidR="00B502ED" w:rsidRPr="00504820">
        <w:t xml:space="preserve">. </w:t>
      </w:r>
      <w:r w:rsidR="00142C56" w:rsidRPr="00504820">
        <w:rPr>
          <w:shd w:val="clear" w:color="auto" w:fill="FFFFFF"/>
        </w:rPr>
        <w:t>Фонд оценочных средств для проведения промежуточной аттестации обучающихся по практике</w:t>
      </w:r>
    </w:p>
    <w:p w:rsidR="00B502ED" w:rsidRPr="00504820" w:rsidRDefault="00B502ED" w:rsidP="00B502ED">
      <w:pPr>
        <w:ind w:firstLine="709"/>
        <w:jc w:val="both"/>
      </w:pPr>
      <w:r w:rsidRPr="00504820">
        <w:t xml:space="preserve">Промежуточная аттестация обучающихся по практике проводится в форме </w:t>
      </w:r>
      <w:r w:rsidR="009B5849" w:rsidRPr="00504820">
        <w:rPr>
          <w:shd w:val="clear" w:color="auto" w:fill="FFFFFF"/>
        </w:rPr>
        <w:t>Зачет с оценкой (4 семестр)</w:t>
      </w:r>
      <w:r w:rsidRPr="00504820">
        <w:t xml:space="preserve">. </w:t>
      </w:r>
    </w:p>
    <w:p w:rsidR="00CD45BC" w:rsidRPr="00504820" w:rsidRDefault="00CD45BC" w:rsidP="00B502ED">
      <w:pPr>
        <w:ind w:firstLine="709"/>
        <w:jc w:val="both"/>
      </w:pPr>
      <w:r w:rsidRPr="00504820">
        <w:t xml:space="preserve">Зачет выставляется по результатам защиты отчета по практике </w:t>
      </w:r>
      <w:r w:rsidR="00805A7E" w:rsidRPr="00504820">
        <w:t>.</w:t>
      </w:r>
    </w:p>
    <w:p w:rsidR="00CD45BC" w:rsidRPr="00504820" w:rsidRDefault="00B502ED" w:rsidP="00CD45BC">
      <w:pPr>
        <w:ind w:firstLine="708"/>
        <w:jc w:val="both"/>
      </w:pPr>
      <w:r w:rsidRPr="00504820">
        <w:t>Конкретный перечень типовых заданий и иных материалов для оценки результатов прохождения практики, а также описание показателей и критериев оценивания компетенций приведен в фонде</w:t>
      </w:r>
      <w:r w:rsidR="00D83427" w:rsidRPr="00504820">
        <w:t xml:space="preserve"> оценочных средств по практике</w:t>
      </w:r>
      <w:r w:rsidRPr="00504820">
        <w:t>.</w:t>
      </w:r>
    </w:p>
    <w:p w:rsidR="002943AD" w:rsidRPr="00504820" w:rsidRDefault="00B502ED" w:rsidP="00B502ED">
      <w:pPr>
        <w:spacing w:after="120"/>
        <w:jc w:val="both"/>
      </w:pPr>
      <w:r w:rsidRPr="00504820">
        <w:t>1</w:t>
      </w:r>
      <w:r w:rsidR="000867DE">
        <w:t>0</w:t>
      </w:r>
      <w:r w:rsidRPr="00504820">
        <w:t xml:space="preserve">. </w:t>
      </w:r>
      <w:r w:rsidR="00142C56" w:rsidRPr="00504820">
        <w:t>Перечень ресурсов сети «Интернет», необходимых для проведения практики</w:t>
      </w:r>
    </w:p>
    <w:p w:rsidR="00B502ED" w:rsidRPr="00F47159" w:rsidRDefault="00D54778" w:rsidP="00D54778">
      <w:pPr>
        <w:spacing w:after="120"/>
        <w:jc w:val="both"/>
        <w:rPr>
          <w:b/>
          <w:bCs/>
        </w:rPr>
      </w:pPr>
      <w:r w:rsidRPr="00F47159">
        <w:t>ЭБС ZNANIUM.COM  (www.znanium.com), ЭБС eLibrary (www.eLibrary.ru), ЭБС ЮРАЙТ (www.urait.ru), ЭБС ACADEMIA-MOSCOW.RU (www.academia-moscow.ru).</w:t>
      </w:r>
    </w:p>
    <w:p w:rsidR="0011424E" w:rsidRDefault="00B502ED" w:rsidP="003F42AF">
      <w:pPr>
        <w:spacing w:after="120"/>
        <w:jc w:val="both"/>
      </w:pPr>
      <w:r w:rsidRPr="00504820">
        <w:t>1</w:t>
      </w:r>
      <w:r w:rsidR="000867DE">
        <w:t>1</w:t>
      </w:r>
      <w:r w:rsidRPr="00504820">
        <w:t xml:space="preserve">. </w:t>
      </w:r>
      <w:r w:rsidR="00A37F1C" w:rsidRPr="00A37F1C">
        <w:t>Описание материально-технической базы, перечень программного обеспечения, необходимых для осуществления образовательного процесса для проведения практики</w:t>
      </w:r>
      <w:r w:rsidR="003F42AF" w:rsidRPr="00504820">
        <w:t xml:space="preserve">: </w:t>
      </w:r>
      <w:r w:rsidR="003F42AF" w:rsidRPr="00504820">
        <w:rPr>
          <w:b/>
        </w:rPr>
        <w:t xml:space="preserve"> </w:t>
      </w:r>
      <w:r w:rsidR="00D54778" w:rsidRPr="00504820">
        <w:br/>
      </w:r>
      <w:r w:rsidR="00D54778" w:rsidRPr="00504820">
        <w:br/>
      </w:r>
      <w:r w:rsidR="00D54778" w:rsidRPr="00504820">
        <w:br/>
        <w:t xml:space="preserve">Аудитория для проведения групповых консультаций: Стационарные компьютеры: Kraftway ПК-05, Helios profice, усилитель звука, двухполосные акустические мониторы, микшерный пульт Yamaha MG-166C, сабвуфер Yamaha MSR-800w, акустические мониторы Yamaha MSR-400, акустические сценические мониторы Yamaha MSR-100, принтер HP, ноутбук Aser, проектор, экран настенный, передвижная маркерная доска. Специализированная мебель. Наборы демонстрационного оборудования и учебно-наглядных пособий, </w:t>
      </w:r>
      <w:r w:rsidR="00D54778" w:rsidRPr="00504820">
        <w:lastRenderedPageBreak/>
        <w:t>обеспечивающие тематические иллюстрации.</w:t>
      </w:r>
      <w:r w:rsidR="00D54778" w:rsidRPr="00504820">
        <w:tab/>
      </w:r>
      <w:r w:rsidR="00D54778" w:rsidRPr="00504820">
        <w:br/>
      </w:r>
      <w:r w:rsidR="00D54778" w:rsidRPr="00504820">
        <w:br/>
      </w:r>
      <w:r w:rsidR="00D54778" w:rsidRPr="00504820">
        <w:br/>
        <w:t>Аудитория для проведения практики: Стационарные компьютеры: Kraftway ПК-05, Helios profice, усилитель звука, двухполосные акустические мониторы, микшерный пульт Yamaha MG-166C, сабвуфер Yamaha MSR-800w, акустические мониторы Yamaha MSR-400, акустические сценические мониторы Yamaha MSR-100, принтер HP, ноутбук Aser, проектор, экран настенный, передвижная маркерная доска Специализированная мебель. Наборы демонстрационного оборудования и учебно-наглядных пособий, обеспечивающие тематические иллюстрации.</w:t>
      </w:r>
      <w:r w:rsidR="00D54778" w:rsidRPr="00504820">
        <w:tab/>
      </w:r>
      <w:r w:rsidR="00D54778" w:rsidRPr="00504820">
        <w:br/>
      </w:r>
      <w:r w:rsidR="00D54778" w:rsidRPr="00504820">
        <w:br/>
      </w:r>
      <w:r w:rsidR="00D54778" w:rsidRPr="00504820">
        <w:br/>
        <w:t>Помещение для самостоятельной работы: Стационарные компьютеры: Kraftway ПК-05, Helios profice, усилитель звука, двухполосные акустические мониторы, микшерный пульт Yamaha MG-166C, сабвуфер Yamaha MSR-800w, акустические мониторы Yamaha MSR-400, акустические сценические мониторы Yamaha MSR-100, принтер HP, ноутбук Aser, проектор, экран настенный, передвижная маркерная доска Специализированная мебель. Наборы демонстрационного оборудования и учебно-наглядных пособий, обеспечивающие тематические иллюстрации.</w:t>
      </w:r>
      <w:r w:rsidR="00D54778" w:rsidRPr="00504820">
        <w:tab/>
        <w:t>.</w:t>
      </w:r>
    </w:p>
    <w:p w:rsidR="0011424E" w:rsidRPr="000708E7" w:rsidRDefault="0011424E" w:rsidP="0011424E">
      <w:pPr>
        <w:spacing w:after="120"/>
        <w:jc w:val="both"/>
      </w:pPr>
      <w:r w:rsidRPr="00504820">
        <w:t>1</w:t>
      </w:r>
      <w:r w:rsidRPr="0011424E">
        <w:t>2</w:t>
      </w:r>
      <w:r w:rsidRPr="00504820">
        <w:t xml:space="preserve">. </w:t>
      </w:r>
      <w:r>
        <w:t>Учебная литература</w:t>
      </w:r>
      <w:r w:rsidR="00661579" w:rsidRPr="000708E7">
        <w:t>:</w:t>
      </w:r>
    </w:p>
    <w:p w:rsidR="004C6727" w:rsidRPr="00504820" w:rsidRDefault="0011424E" w:rsidP="00661579">
      <w:pPr>
        <w:spacing w:after="120"/>
        <w:jc w:val="both"/>
      </w:pPr>
      <w:r w:rsidRPr="00F47159">
        <w:tab/>
        <w:t>1) Профессиональные навыки юриста [Электронный ресурс] : учеб. для вузов / Е. Г. Бабелюк, С. В. Волкова, Н. И. Дивеева [и др.] ; под общ. ред. Е. Н. Доброхотовой. – Москва : Юрайт, 2023. – (Высшее образование). – Добавлено: 28.08.2023. – Проверено: 29.09.2023. – Режим доступа: ЭБС Юрайт по паролю. – ISBN 978-5-534-03333-5. - URL: https://urait.ru/book/professionalnye-navyki-yurista-511729.</w:t>
      </w:r>
      <w:r w:rsidRPr="00F47159">
        <w:br/>
      </w:r>
      <w:r w:rsidRPr="00F47159">
        <w:br/>
      </w:r>
      <w:r w:rsidRPr="00F47159">
        <w:tab/>
        <w:t>2) Носков, Игорь Юрьевич. Профессиональная этика юриста [Электронный ресурс] : учеб. для вузов / И. Ю. Носков. – Москва : Юрайт, 2022. – (Высшее образование). – Добавлено: 11.07.2022. – Проверено: 29.09.2023. – Режим доступа: ЭБС Юрайт по паролю. – ISBN 978-5-534-06642-5. - URL: https://urait.ru/book/professionalnaya-etika-yurista-493422.</w:t>
      </w:r>
      <w:r w:rsidRPr="00F47159">
        <w:br/>
      </w:r>
      <w:r w:rsidRPr="00F47159">
        <w:br/>
      </w:r>
      <w:r w:rsidRPr="00F47159">
        <w:tab/>
        <w:t>3) Профессиональные навыки юриста [Электронный ресурс] : учеб. пособие для вузов / под ред. Т. Ю. Марковой, М. В. Самсоновой. – Москва : Юрайт, 2022. – (Высшее образование). – Добавлено: 26.01.2022. – Проверено: 29.09.2023. – Режим доступа: ЭБС Юрайт по паролю. – ISBN 978-5-534-01379-5. - URL: https://urait.ru/book/professionalnye-navyki-yurista-489700.</w:t>
      </w:r>
      <w:r w:rsidRPr="00F47159">
        <w:br/>
      </w:r>
      <w:r w:rsidRPr="00F47159">
        <w:br/>
      </w:r>
      <w:r w:rsidRPr="00F47159">
        <w:tab/>
        <w:t>4) Кузнецов, Игорь Николаевич. Рефераты, курсовые и дипломные работы. Методика подготовки и оформления [Электронный ресурс] : учеб.-метод. пособие / И. Н. Кузнецов. – Москва : Дашков и К, 2020. – Добавлено: 03.10.2022. – Проверено: 29.09.2023. – Режим доступа: ЭБС Znanium по паролю. – ISBN 978-5-394-03673-6. - URL: https://znanium.com/catalog/document?id=358472.</w:t>
      </w:r>
      <w:r w:rsidRPr="00F47159">
        <w:br/>
      </w:r>
      <w:r w:rsidRPr="00F47159">
        <w:br/>
      </w:r>
      <w:r w:rsidRPr="00F47159">
        <w:tab/>
        <w:t>5) Педагогика [Электронный ресурс] : учеб. и практикум для вузов / под общ. ред. Л. С. Подымовой, В. А. Сластенина. – Москва : Юрайт, 2023. – (Высшее образование). – Добавлено: 29.06.2023. – Проверено: 29.09.2023. – Режим доступа: ЭБС Юрайт по паролю. – ISBN 978-5-534-01032-9. - URL: https://urait.ru/book/pedagogika-498824.</w:t>
      </w:r>
      <w:r w:rsidRPr="00F47159">
        <w:br/>
      </w:r>
      <w:r w:rsidRPr="00F47159">
        <w:br/>
      </w:r>
      <w:r w:rsidRPr="00F47159">
        <w:tab/>
        <w:t xml:space="preserve">6) Максимова, Татьяна Юрьевна. Профессиональные навыки юриста. Практикум [Электронный ресурс] : учеб. пособие для вузов / Т. Ю. Максимова, Т. Ю. Маркова, Л. П. Михайлова. – Москва : Юрайт, 2023. – (Высшее образование). – Добавлено: 17.08.2023. – </w:t>
      </w:r>
      <w:r w:rsidRPr="00F47159">
        <w:lastRenderedPageBreak/>
        <w:t>Проверено: 29.09.2023. – Режим доступа: ЭБС Юрайт по паролю. – ISBN 978-5-534-03328-1. - URL: https://urait.ru/book/professionalnye-navyki-yurista-praktikum-511769.</w:t>
      </w:r>
      <w:r w:rsidRPr="00F47159">
        <w:br/>
      </w:r>
      <w:r w:rsidRPr="00F47159">
        <w:br/>
      </w:r>
      <w:r w:rsidRPr="00F47159">
        <w:tab/>
        <w:t>7) Профессиональные навыки юриста. Практикум [Электронный ресурс] : учеб. пособие для вузов / Е. Н. Доброхотова, М. Ю. Лаврикова, О. А. Кудряшова [и др.] ; под общ. ред. Е. Н. Доброхотовой. – Москва : Юрайт, 2023. – (Высшее образование). – Добавлено: 23.08.2023. – Проверено: 29.09.2023. – Режим доступа: ЭБС Юрайт по паролю. – ISBN 978-5-534-03332-8. - URL: https://urait.ru/book/professionalnye-navyki-yurista-praktikum-512300.</w:t>
      </w:r>
      <w:r w:rsidRPr="00F47159">
        <w:br/>
      </w:r>
      <w:r w:rsidRPr="00F47159">
        <w:br/>
      </w:r>
      <w:r w:rsidRPr="00F47159">
        <w:tab/>
        <w:t>8) Авдонина, Лионора Николаевна. Письменные работы научного стиля [Электронный ресурс] : учеб. пособие / Л. Н. Авдонина, Т. В. Гусева. – Москва : ИНФРА-М, 2020. – Добавлено: 24.10.2022. – Проверено: 29.09.2023. – Режим доступа: ЭБС Znanium по паролю. – ISBN 978-5-00091-494-6. - URL: https://znanium.com/catalog/document?id=343377.</w:t>
      </w:r>
      <w:r w:rsidRPr="00F47159">
        <w:br/>
      </w:r>
      <w:r w:rsidRPr="00F47159">
        <w:br/>
        <w:t>.</w:t>
      </w:r>
    </w:p>
    <w:sectPr w:rsidR="004C6727" w:rsidRPr="00504820" w:rsidSect="00FA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69" w:rsidRDefault="00F54569" w:rsidP="00B502ED">
      <w:r>
        <w:separator/>
      </w:r>
    </w:p>
  </w:endnote>
  <w:endnote w:type="continuationSeparator" w:id="0">
    <w:p w:rsidR="00F54569" w:rsidRDefault="00F54569" w:rsidP="00B5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69" w:rsidRDefault="00F54569" w:rsidP="00B502ED">
      <w:r>
        <w:separator/>
      </w:r>
    </w:p>
  </w:footnote>
  <w:footnote w:type="continuationSeparator" w:id="0">
    <w:p w:rsidR="00F54569" w:rsidRDefault="00F54569" w:rsidP="00B50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4B2E"/>
    <w:multiLevelType w:val="hybridMultilevel"/>
    <w:tmpl w:val="F6826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2E0001"/>
    <w:multiLevelType w:val="hybridMultilevel"/>
    <w:tmpl w:val="B6F4328E"/>
    <w:lvl w:ilvl="0" w:tplc="90901204">
      <w:start w:val="1"/>
      <w:numFmt w:val="decimal"/>
      <w:lvlText w:val="%1."/>
      <w:lvlJc w:val="left"/>
      <w:pPr>
        <w:ind w:left="720" w:hanging="360"/>
      </w:pPr>
    </w:lvl>
    <w:lvl w:ilvl="1" w:tplc="90901204" w:tentative="1">
      <w:start w:val="1"/>
      <w:numFmt w:val="lowerLetter"/>
      <w:lvlText w:val="%2."/>
      <w:lvlJc w:val="left"/>
      <w:pPr>
        <w:ind w:left="1440" w:hanging="360"/>
      </w:pPr>
    </w:lvl>
    <w:lvl w:ilvl="2" w:tplc="90901204" w:tentative="1">
      <w:start w:val="1"/>
      <w:numFmt w:val="lowerRoman"/>
      <w:lvlText w:val="%3."/>
      <w:lvlJc w:val="right"/>
      <w:pPr>
        <w:ind w:left="2160" w:hanging="180"/>
      </w:pPr>
    </w:lvl>
    <w:lvl w:ilvl="3" w:tplc="90901204" w:tentative="1">
      <w:start w:val="1"/>
      <w:numFmt w:val="decimal"/>
      <w:lvlText w:val="%4."/>
      <w:lvlJc w:val="left"/>
      <w:pPr>
        <w:ind w:left="2880" w:hanging="360"/>
      </w:pPr>
    </w:lvl>
    <w:lvl w:ilvl="4" w:tplc="90901204" w:tentative="1">
      <w:start w:val="1"/>
      <w:numFmt w:val="lowerLetter"/>
      <w:lvlText w:val="%5."/>
      <w:lvlJc w:val="left"/>
      <w:pPr>
        <w:ind w:left="3600" w:hanging="360"/>
      </w:pPr>
    </w:lvl>
    <w:lvl w:ilvl="5" w:tplc="90901204" w:tentative="1">
      <w:start w:val="1"/>
      <w:numFmt w:val="lowerRoman"/>
      <w:lvlText w:val="%6."/>
      <w:lvlJc w:val="right"/>
      <w:pPr>
        <w:ind w:left="4320" w:hanging="180"/>
      </w:pPr>
    </w:lvl>
    <w:lvl w:ilvl="6" w:tplc="90901204" w:tentative="1">
      <w:start w:val="1"/>
      <w:numFmt w:val="decimal"/>
      <w:lvlText w:val="%7."/>
      <w:lvlJc w:val="left"/>
      <w:pPr>
        <w:ind w:left="5040" w:hanging="360"/>
      </w:pPr>
    </w:lvl>
    <w:lvl w:ilvl="7" w:tplc="90901204" w:tentative="1">
      <w:start w:val="1"/>
      <w:numFmt w:val="lowerLetter"/>
      <w:lvlText w:val="%8."/>
      <w:lvlJc w:val="left"/>
      <w:pPr>
        <w:ind w:left="5760" w:hanging="360"/>
      </w:pPr>
    </w:lvl>
    <w:lvl w:ilvl="8" w:tplc="90901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C615B"/>
    <w:multiLevelType w:val="hybridMultilevel"/>
    <w:tmpl w:val="6CFC8678"/>
    <w:lvl w:ilvl="0" w:tplc="692650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861FA"/>
    <w:multiLevelType w:val="hybridMultilevel"/>
    <w:tmpl w:val="DE727E98"/>
    <w:lvl w:ilvl="0" w:tplc="77FC7A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ED"/>
    <w:rsid w:val="000151CA"/>
    <w:rsid w:val="000325F4"/>
    <w:rsid w:val="000327F3"/>
    <w:rsid w:val="0004252B"/>
    <w:rsid w:val="00042C0E"/>
    <w:rsid w:val="000476E1"/>
    <w:rsid w:val="000708E7"/>
    <w:rsid w:val="000867DE"/>
    <w:rsid w:val="00097761"/>
    <w:rsid w:val="0009780C"/>
    <w:rsid w:val="00102ACE"/>
    <w:rsid w:val="0011424E"/>
    <w:rsid w:val="00126520"/>
    <w:rsid w:val="00142C56"/>
    <w:rsid w:val="00153720"/>
    <w:rsid w:val="0015703A"/>
    <w:rsid w:val="0017077D"/>
    <w:rsid w:val="0018686E"/>
    <w:rsid w:val="00192A8E"/>
    <w:rsid w:val="00194D00"/>
    <w:rsid w:val="0025360C"/>
    <w:rsid w:val="00273439"/>
    <w:rsid w:val="002943AD"/>
    <w:rsid w:val="002E3521"/>
    <w:rsid w:val="002F29CB"/>
    <w:rsid w:val="00335608"/>
    <w:rsid w:val="003430A8"/>
    <w:rsid w:val="00386673"/>
    <w:rsid w:val="00393D9E"/>
    <w:rsid w:val="003C70D6"/>
    <w:rsid w:val="003F42AF"/>
    <w:rsid w:val="00401987"/>
    <w:rsid w:val="00416D1A"/>
    <w:rsid w:val="00446B7F"/>
    <w:rsid w:val="00486433"/>
    <w:rsid w:val="0049634E"/>
    <w:rsid w:val="004A2ACE"/>
    <w:rsid w:val="004C6727"/>
    <w:rsid w:val="004D2191"/>
    <w:rsid w:val="004E62EC"/>
    <w:rsid w:val="004F4E06"/>
    <w:rsid w:val="00503377"/>
    <w:rsid w:val="00504820"/>
    <w:rsid w:val="00576380"/>
    <w:rsid w:val="005852AC"/>
    <w:rsid w:val="0058725C"/>
    <w:rsid w:val="005E5EEB"/>
    <w:rsid w:val="00622B6A"/>
    <w:rsid w:val="00661579"/>
    <w:rsid w:val="00674AEA"/>
    <w:rsid w:val="006872CA"/>
    <w:rsid w:val="0070047B"/>
    <w:rsid w:val="0076253D"/>
    <w:rsid w:val="00770E5D"/>
    <w:rsid w:val="00776074"/>
    <w:rsid w:val="00796968"/>
    <w:rsid w:val="007A41C7"/>
    <w:rsid w:val="007B2AB0"/>
    <w:rsid w:val="007F725D"/>
    <w:rsid w:val="00805A7E"/>
    <w:rsid w:val="008354D5"/>
    <w:rsid w:val="00840AAE"/>
    <w:rsid w:val="0087294E"/>
    <w:rsid w:val="008B534A"/>
    <w:rsid w:val="008D2469"/>
    <w:rsid w:val="008F7504"/>
    <w:rsid w:val="009110A6"/>
    <w:rsid w:val="009256B9"/>
    <w:rsid w:val="00951693"/>
    <w:rsid w:val="00961E15"/>
    <w:rsid w:val="009B5849"/>
    <w:rsid w:val="009C073B"/>
    <w:rsid w:val="00A01E3A"/>
    <w:rsid w:val="00A25DCA"/>
    <w:rsid w:val="00A37F1C"/>
    <w:rsid w:val="00A44257"/>
    <w:rsid w:val="00A61BDD"/>
    <w:rsid w:val="00A65C28"/>
    <w:rsid w:val="00A94F00"/>
    <w:rsid w:val="00AB36E7"/>
    <w:rsid w:val="00B137BF"/>
    <w:rsid w:val="00B23787"/>
    <w:rsid w:val="00B37983"/>
    <w:rsid w:val="00B502ED"/>
    <w:rsid w:val="00B67D4E"/>
    <w:rsid w:val="00BB0772"/>
    <w:rsid w:val="00C139B5"/>
    <w:rsid w:val="00C151DC"/>
    <w:rsid w:val="00C95400"/>
    <w:rsid w:val="00CD45BC"/>
    <w:rsid w:val="00CE5C9B"/>
    <w:rsid w:val="00CE63CA"/>
    <w:rsid w:val="00CF73E8"/>
    <w:rsid w:val="00D507FF"/>
    <w:rsid w:val="00D54778"/>
    <w:rsid w:val="00D67D68"/>
    <w:rsid w:val="00D73319"/>
    <w:rsid w:val="00D80055"/>
    <w:rsid w:val="00D83427"/>
    <w:rsid w:val="00D96243"/>
    <w:rsid w:val="00DA6631"/>
    <w:rsid w:val="00E11D6F"/>
    <w:rsid w:val="00E17E34"/>
    <w:rsid w:val="00E63E7C"/>
    <w:rsid w:val="00E66C8B"/>
    <w:rsid w:val="00E73C43"/>
    <w:rsid w:val="00E86472"/>
    <w:rsid w:val="00EE0467"/>
    <w:rsid w:val="00EF178A"/>
    <w:rsid w:val="00F47159"/>
    <w:rsid w:val="00F54569"/>
    <w:rsid w:val="00F71635"/>
    <w:rsid w:val="00FA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A327"/>
  <w15:docId w15:val="{F171BDDF-2778-4DED-B33B-FD9FD5E2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1C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502ED"/>
    <w:pPr>
      <w:spacing w:line="276" w:lineRule="auto"/>
    </w:pPr>
    <w:rPr>
      <w:rFonts w:asciiTheme="minorHAnsi" w:eastAsia="Times New Roman" w:hAnsiTheme="minorHAnsi" w:cstheme="minorBidi"/>
      <w:sz w:val="20"/>
      <w:szCs w:val="20"/>
      <w:lang w:val="en-US" w:bidi="en-US"/>
    </w:rPr>
  </w:style>
  <w:style w:type="character" w:customStyle="1" w:styleId="a4">
    <w:name w:val="Текст сноски Знак"/>
    <w:basedOn w:val="a0"/>
    <w:link w:val="a3"/>
    <w:uiPriority w:val="99"/>
    <w:rsid w:val="00B502ED"/>
    <w:rPr>
      <w:rFonts w:eastAsia="Times New Roman"/>
      <w:sz w:val="20"/>
      <w:szCs w:val="20"/>
      <w:lang w:val="en-US" w:eastAsia="ru-RU" w:bidi="en-US"/>
    </w:rPr>
  </w:style>
  <w:style w:type="character" w:styleId="a5">
    <w:name w:val="footnote reference"/>
    <w:uiPriority w:val="99"/>
    <w:unhideWhenUsed/>
    <w:rsid w:val="00B502ED"/>
    <w:rPr>
      <w:vertAlign w:val="superscript"/>
    </w:rPr>
  </w:style>
  <w:style w:type="character" w:styleId="a6">
    <w:name w:val="annotation reference"/>
    <w:basedOn w:val="a0"/>
    <w:uiPriority w:val="99"/>
    <w:unhideWhenUsed/>
    <w:rsid w:val="00A4425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A44257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4425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425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4257"/>
    <w:rPr>
      <w:rFonts w:ascii="Segoe UI" w:eastAsiaTheme="minorEastAsia" w:hAnsi="Segoe UI" w:cs="Segoe UI"/>
      <w:sz w:val="18"/>
      <w:szCs w:val="18"/>
      <w:lang w:val="en-US" w:bidi="en-US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A44257"/>
    <w:pPr>
      <w:spacing w:after="200"/>
    </w:pPr>
    <w:rPr>
      <w:rFonts w:eastAsiaTheme="minorEastAsia"/>
      <w:b/>
      <w:bCs/>
      <w:lang w:val="en-US" w:bidi="en-US"/>
    </w:rPr>
  </w:style>
  <w:style w:type="character" w:customStyle="1" w:styleId="ac">
    <w:name w:val="Тема примечания Знак"/>
    <w:basedOn w:val="a8"/>
    <w:link w:val="ab"/>
    <w:uiPriority w:val="99"/>
    <w:semiHidden/>
    <w:rsid w:val="00A44257"/>
    <w:rPr>
      <w:rFonts w:eastAsiaTheme="minorEastAsia"/>
      <w:b/>
      <w:bCs/>
      <w:sz w:val="20"/>
      <w:szCs w:val="20"/>
      <w:lang w:val="en-US" w:bidi="en-US"/>
    </w:rPr>
  </w:style>
  <w:style w:type="paragraph" w:styleId="ad">
    <w:name w:val="Revision"/>
    <w:hidden/>
    <w:uiPriority w:val="99"/>
    <w:semiHidden/>
    <w:rsid w:val="00393D9E"/>
    <w:pPr>
      <w:spacing w:after="0" w:line="240" w:lineRule="auto"/>
    </w:pPr>
    <w:rPr>
      <w:rFonts w:eastAsiaTheme="minorEastAsia"/>
      <w:lang w:val="en-US" w:bidi="en-US"/>
    </w:rPr>
  </w:style>
  <w:style w:type="paragraph" w:styleId="ae">
    <w:name w:val="List Paragraph"/>
    <w:basedOn w:val="a"/>
    <w:uiPriority w:val="34"/>
    <w:qFormat/>
    <w:rsid w:val="001868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paragraph" w:styleId="af">
    <w:name w:val="Body Text"/>
    <w:basedOn w:val="a"/>
    <w:link w:val="af0"/>
    <w:uiPriority w:val="99"/>
    <w:semiHidden/>
    <w:rsid w:val="00142C56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semiHidden/>
    <w:rsid w:val="00142C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142C5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61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157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7EC96C7A7943FC8A21826F02AF6D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64831-6906-4379-A1AD-7D0B0F3B5FAD}"/>
      </w:docPartPr>
      <w:docPartBody>
        <w:p w:rsidR="00AE41C6" w:rsidRDefault="007E079E" w:rsidP="007E079E">
          <w:pPr>
            <w:pStyle w:val="FE7EC96C7A7943FC8A21826F02AF6DD2"/>
          </w:pPr>
          <w:r w:rsidRPr="00F53622">
            <w:rPr>
              <w:rStyle w:val="a3"/>
            </w:rPr>
            <w:t>Click here to enter text.</w:t>
          </w:r>
        </w:p>
      </w:docPartBody>
    </w:docPart>
    <w:docPart>
      <w:docPartPr>
        <w:name w:val="A74BA64C1F1A499CA682110B129C9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C7825-E9F5-4546-820B-1B0D182EC321}"/>
      </w:docPartPr>
      <w:docPartBody>
        <w:p w:rsidR="00AE41C6" w:rsidRDefault="007E079E" w:rsidP="007E079E">
          <w:pPr>
            <w:pStyle w:val="A74BA64C1F1A499CA682110B129C959A"/>
          </w:pPr>
          <w:r w:rsidRPr="00F53622">
            <w:rPr>
              <w:rStyle w:val="a3"/>
            </w:rPr>
            <w:t>Click here to enter text.</w:t>
          </w:r>
        </w:p>
      </w:docPartBody>
    </w:docPart>
    <w:docPart>
      <w:docPartPr>
        <w:name w:val="22580A3F022B41009201F56652389B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2BC599-ED93-42B3-9F98-DCB3D34693AD}"/>
      </w:docPartPr>
      <w:docPartBody>
        <w:p w:rsidR="00AE41C6" w:rsidRDefault="007E079E" w:rsidP="007E079E">
          <w:pPr>
            <w:pStyle w:val="22580A3F022B41009201F56652389BBD"/>
          </w:pPr>
          <w:r w:rsidRPr="00F53622">
            <w:rPr>
              <w:rStyle w:val="a3"/>
            </w:rPr>
            <w:t>Click here to enter text.</w:t>
          </w:r>
        </w:p>
      </w:docPartBody>
    </w:docPart>
    <w:docPart>
      <w:docPartPr>
        <w:name w:val="D8B0EF5400114713A8DE2D3364EBB6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FD1651-97C6-4693-8D61-690F0A7BE781}"/>
      </w:docPartPr>
      <w:docPartBody>
        <w:p w:rsidR="00AE41C6" w:rsidRDefault="007E079E" w:rsidP="007E079E">
          <w:pPr>
            <w:pStyle w:val="D8B0EF5400114713A8DE2D3364EBB62B"/>
          </w:pPr>
          <w:r w:rsidRPr="00F53622">
            <w:rPr>
              <w:rStyle w:val="a3"/>
            </w:rPr>
            <w:t>Click here to enter text.</w:t>
          </w:r>
        </w:p>
      </w:docPartBody>
    </w:docPart>
    <w:docPart>
      <w:docPartPr>
        <w:name w:val="3DFB87D687F94AB19CC6802E3C575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DE353C-75AA-4104-AE22-8D255BEEEFAB}"/>
      </w:docPartPr>
      <w:docPartBody>
        <w:p w:rsidR="00AE41C6" w:rsidRDefault="007E079E" w:rsidP="007E079E">
          <w:pPr>
            <w:pStyle w:val="3DFB87D687F94AB19CC6802E3C5758E1"/>
          </w:pPr>
          <w:r w:rsidRPr="00F53622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9E"/>
    <w:rsid w:val="00003495"/>
    <w:rsid w:val="00104EEC"/>
    <w:rsid w:val="0015773C"/>
    <w:rsid w:val="0017000D"/>
    <w:rsid w:val="00242D43"/>
    <w:rsid w:val="00352B03"/>
    <w:rsid w:val="007E079E"/>
    <w:rsid w:val="0081309A"/>
    <w:rsid w:val="008F2B9A"/>
    <w:rsid w:val="0098223B"/>
    <w:rsid w:val="00A267FC"/>
    <w:rsid w:val="00AE41C6"/>
    <w:rsid w:val="00AF4514"/>
    <w:rsid w:val="00C106A1"/>
    <w:rsid w:val="00C1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079E"/>
    <w:rPr>
      <w:color w:val="808080"/>
    </w:rPr>
  </w:style>
  <w:style w:type="paragraph" w:customStyle="1" w:styleId="FE7EC96C7A7943FC8A21826F02AF6DD2">
    <w:name w:val="FE7EC96C7A7943FC8A21826F02AF6DD2"/>
    <w:rsid w:val="007E079E"/>
  </w:style>
  <w:style w:type="paragraph" w:customStyle="1" w:styleId="A74BA64C1F1A499CA682110B129C959A">
    <w:name w:val="A74BA64C1F1A499CA682110B129C959A"/>
    <w:rsid w:val="007E079E"/>
  </w:style>
  <w:style w:type="paragraph" w:customStyle="1" w:styleId="22580A3F022B41009201F56652389BBD">
    <w:name w:val="22580A3F022B41009201F56652389BBD"/>
    <w:rsid w:val="007E079E"/>
  </w:style>
  <w:style w:type="paragraph" w:customStyle="1" w:styleId="D8B0EF5400114713A8DE2D3364EBB62B">
    <w:name w:val="D8B0EF5400114713A8DE2D3364EBB62B"/>
    <w:rsid w:val="007E079E"/>
  </w:style>
  <w:style w:type="paragraph" w:customStyle="1" w:styleId="3DFB87D687F94AB19CC6802E3C5758E1">
    <w:name w:val="3DFB87D687F94AB19CC6802E3C5758E1"/>
    <w:rsid w:val="007E07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AF790-DBCC-46DD-8EBA-6E72BD1F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7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Костина</dc:creator>
  <cp:lastModifiedBy>Смирнов Юрий Анатольевич</cp:lastModifiedBy>
  <cp:revision>46</cp:revision>
  <dcterms:created xsi:type="dcterms:W3CDTF">2018-02-13T13:25:00Z</dcterms:created>
  <dcterms:modified xsi:type="dcterms:W3CDTF">2023-10-30T16:14:00Z</dcterms:modified>
</cp:coreProperties>
</file>