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6"/>
      </w:tblGrid>
      <w:tr w:rsidR="00DE7504" w:rsidRPr="00DE7504" w14:paraId="39753BC5" w14:textId="77777777" w:rsidTr="00DE7504">
        <w:trPr>
          <w:trHeight w:val="80"/>
        </w:trPr>
        <w:tc>
          <w:tcPr>
            <w:tcW w:w="7296" w:type="dxa"/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6"/>
              <w:gridCol w:w="4404"/>
            </w:tblGrid>
            <w:tr w:rsidR="00DE7504" w:rsidRPr="00DE7504" w14:paraId="479A6E9F" w14:textId="77777777">
              <w:tc>
                <w:tcPr>
                  <w:tcW w:w="824" w:type="dxa"/>
                  <w:hideMark/>
                </w:tcPr>
                <w:p w14:paraId="19B35A9E" w14:textId="10633E25" w:rsidR="00DE7504" w:rsidRPr="00DE7504" w:rsidRDefault="00AC5171" w:rsidP="00DE7504">
                  <w:pPr>
                    <w:spacing w:after="160" w:line="259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53BBB3" wp14:editId="0954ACF4">
                        <wp:extent cx="1555115" cy="781050"/>
                        <wp:effectExtent l="0" t="0" r="6985" b="0"/>
                        <wp:docPr id="14" name="Рисунок 1" descr="C:\Users\Grebenshchikovyu\Downloads\svgtopng\logo_30_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4" descr="C:\Users\Grebenshchikovyu\Downloads\svgtopng\logo_30_new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11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8" w:type="dxa"/>
                </w:tcPr>
                <w:p w14:paraId="1CEB75E6" w14:textId="77777777" w:rsidR="00DE7504" w:rsidRPr="00DE7504" w:rsidRDefault="00DE7504" w:rsidP="00DE7504">
                  <w:pPr>
                    <w:spacing w:after="160" w:line="259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7504">
                    <w:rPr>
                      <w:b/>
                      <w:sz w:val="28"/>
                      <w:szCs w:val="28"/>
                    </w:rPr>
                    <w:t>Институт гуманитарных наук</w:t>
                  </w:r>
                </w:p>
                <w:p w14:paraId="1016C92E" w14:textId="714F9898" w:rsidR="00DE7504" w:rsidRPr="00DE7504" w:rsidRDefault="00A31BC5" w:rsidP="00DE7504">
                  <w:pPr>
                    <w:spacing w:after="160" w:line="259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Департамент философии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DE7504" w:rsidRPr="00DE7504">
                    <w:rPr>
                      <w:b/>
                      <w:sz w:val="28"/>
                      <w:szCs w:val="28"/>
                    </w:rPr>
                    <w:t>и социальных наук</w:t>
                  </w:r>
                </w:p>
                <w:p w14:paraId="5530AE45" w14:textId="77777777" w:rsidR="00DE7504" w:rsidRPr="00DE7504" w:rsidRDefault="00DE7504" w:rsidP="00DE7504">
                  <w:pPr>
                    <w:spacing w:after="160" w:line="259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A92B6A3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14:paraId="6182C304" w14:textId="3EFAFFF0" w:rsidR="00DE7504" w:rsidRPr="00DE7504" w:rsidRDefault="00DE7504" w:rsidP="00DE7504">
      <w:pPr>
        <w:rPr>
          <w:sz w:val="28"/>
          <w:szCs w:val="28"/>
        </w:rPr>
      </w:pPr>
      <w:r w:rsidRPr="00DE7504">
        <w:rPr>
          <w:noProof/>
          <w:sz w:val="28"/>
          <w:szCs w:val="28"/>
          <w:lang w:eastAsia="ru-RU"/>
        </w:rPr>
        <w:drawing>
          <wp:inline distT="0" distB="0" distL="0" distR="0" wp14:anchorId="3E397E84" wp14:editId="3EB7701C">
            <wp:extent cx="5914805" cy="2199005"/>
            <wp:effectExtent l="0" t="0" r="0" b="0"/>
            <wp:docPr id="1579795047" name="Рисунок 3" descr="Книга, Читать, Студент, Студенты, Доска, Классная До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нига, Читать, Студент, Студенты, Доска, Классная Дос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39" cy="22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8527" w14:textId="77777777" w:rsidR="00DE7504" w:rsidRPr="00DE7504" w:rsidRDefault="00DE7504" w:rsidP="00DE7504">
      <w:pPr>
        <w:rPr>
          <w:sz w:val="28"/>
          <w:szCs w:val="28"/>
        </w:rPr>
      </w:pPr>
    </w:p>
    <w:p w14:paraId="7964E4E2" w14:textId="3372D420" w:rsidR="00DE7504" w:rsidRPr="00DE7504" w:rsidRDefault="00DE7504" w:rsidP="00DE7504">
      <w:pPr>
        <w:rPr>
          <w:b/>
          <w:sz w:val="28"/>
          <w:szCs w:val="28"/>
        </w:rPr>
      </w:pPr>
      <w:r w:rsidRPr="00DE7504">
        <w:rPr>
          <w:b/>
          <w:sz w:val="28"/>
          <w:szCs w:val="28"/>
        </w:rPr>
        <w:t xml:space="preserve">Информационное письмо </w:t>
      </w:r>
    </w:p>
    <w:p w14:paraId="2EADA964" w14:textId="77777777" w:rsidR="00DE7504" w:rsidRPr="00DE7504" w:rsidRDefault="00DE7504" w:rsidP="00DE7504">
      <w:pPr>
        <w:jc w:val="center"/>
        <w:rPr>
          <w:b/>
          <w:i/>
          <w:sz w:val="28"/>
          <w:szCs w:val="28"/>
        </w:rPr>
      </w:pPr>
      <w:r w:rsidRPr="00DE7504">
        <w:rPr>
          <w:b/>
          <w:i/>
          <w:sz w:val="28"/>
          <w:szCs w:val="28"/>
        </w:rPr>
        <w:t>Уважаемые коллеги!</w:t>
      </w:r>
    </w:p>
    <w:p w14:paraId="28A24F2E" w14:textId="15C0F351" w:rsid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b/>
          <w:sz w:val="28"/>
          <w:szCs w:val="28"/>
        </w:rPr>
        <w:t>17 марта 2025 года</w:t>
      </w:r>
      <w:r w:rsidRPr="00DE7504">
        <w:rPr>
          <w:sz w:val="28"/>
          <w:szCs w:val="28"/>
        </w:rPr>
        <w:t xml:space="preserve"> </w:t>
      </w:r>
      <w:r w:rsidRPr="00DE7504">
        <w:rPr>
          <w:b/>
          <w:sz w:val="28"/>
          <w:szCs w:val="28"/>
        </w:rPr>
        <w:t>в 17.30</w:t>
      </w:r>
      <w:r w:rsidRPr="00DE7504">
        <w:rPr>
          <w:sz w:val="28"/>
          <w:szCs w:val="28"/>
        </w:rPr>
        <w:t xml:space="preserve"> Государственное автономное образовательное учреждение высшего образования города Москвы </w:t>
      </w:r>
      <w:r w:rsidRPr="00DE7504">
        <w:rPr>
          <w:b/>
          <w:sz w:val="28"/>
          <w:szCs w:val="28"/>
        </w:rPr>
        <w:t>«Московский городской педагогический университет»</w:t>
      </w:r>
      <w:r w:rsidRPr="00DE7504">
        <w:rPr>
          <w:sz w:val="28"/>
          <w:szCs w:val="28"/>
        </w:rPr>
        <w:t xml:space="preserve"> на базе департамента философии и социальных </w:t>
      </w:r>
      <w:r w:rsidR="00A31BC5">
        <w:rPr>
          <w:sz w:val="28"/>
          <w:szCs w:val="28"/>
        </w:rPr>
        <w:t>наук и</w:t>
      </w:r>
      <w:r w:rsidRPr="00DE7504">
        <w:rPr>
          <w:sz w:val="28"/>
          <w:szCs w:val="28"/>
        </w:rPr>
        <w:t>нститута гуманитарных наук проводит</w:t>
      </w:r>
      <w:r>
        <w:rPr>
          <w:sz w:val="28"/>
          <w:szCs w:val="28"/>
        </w:rPr>
        <w:t xml:space="preserve"> </w:t>
      </w:r>
    </w:p>
    <w:p w14:paraId="08AF5F00" w14:textId="0C36A08B" w:rsidR="00DE7504" w:rsidRP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sz w:val="28"/>
          <w:szCs w:val="28"/>
        </w:rPr>
        <w:t>X</w:t>
      </w:r>
      <w:r w:rsidRPr="00DE7504">
        <w:rPr>
          <w:sz w:val="28"/>
          <w:szCs w:val="28"/>
          <w:lang w:val="en-US"/>
        </w:rPr>
        <w:t>VI</w:t>
      </w:r>
      <w:r w:rsidRPr="00DE7504">
        <w:rPr>
          <w:sz w:val="28"/>
          <w:szCs w:val="28"/>
        </w:rPr>
        <w:t xml:space="preserve"> Всероссийскую аспирантскую конференцию с международным участием</w:t>
      </w:r>
      <w:r>
        <w:rPr>
          <w:sz w:val="28"/>
          <w:szCs w:val="28"/>
        </w:rPr>
        <w:t xml:space="preserve"> </w:t>
      </w:r>
      <w:r w:rsidRPr="00DE7504">
        <w:rPr>
          <w:sz w:val="28"/>
          <w:szCs w:val="28"/>
        </w:rPr>
        <w:t>«</w:t>
      </w:r>
      <w:r w:rsidRPr="00DE7504">
        <w:rPr>
          <w:b/>
          <w:bCs/>
          <w:sz w:val="28"/>
          <w:szCs w:val="28"/>
        </w:rPr>
        <w:t>Естественный и/или искусственный интеллект в цифровом обществе</w:t>
      </w:r>
      <w:r w:rsidRPr="00DE7504">
        <w:rPr>
          <w:sz w:val="28"/>
          <w:szCs w:val="28"/>
        </w:rPr>
        <w:t>»</w:t>
      </w:r>
    </w:p>
    <w:p w14:paraId="33C95288" w14:textId="77777777" w:rsid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обсуждению предлагаются следующие вопросы:</w:t>
      </w:r>
    </w:p>
    <w:p w14:paraId="2F76CDB5" w14:textId="77777777" w:rsidR="00DE7504" w:rsidRDefault="00DE7504" w:rsidP="00DE750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Как осуществляется взаимодействие естественного и искусственного интеллектов в современном цифровом обществе (в науке, образовании, праве, искусстве и др. сферах)?</w:t>
      </w:r>
    </w:p>
    <w:p w14:paraId="204ABD92" w14:textId="77777777" w:rsidR="00DE7504" w:rsidRDefault="00DE7504" w:rsidP="00DE750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Каковы отличия естественного интеллекта от искусственного?</w:t>
      </w:r>
    </w:p>
    <w:p w14:paraId="210656AF" w14:textId="77777777" w:rsidR="00DE7504" w:rsidRDefault="00DE7504" w:rsidP="00DE750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Усиливает ли ИИ возможности человеческого интеллекта? </w:t>
      </w:r>
    </w:p>
    <w:p w14:paraId="08EC7E1C" w14:textId="6750C79A" w:rsidR="00DE7504" w:rsidRPr="00DE7504" w:rsidRDefault="00DE7504" w:rsidP="00DE750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Сложность искусственных интеллектуальных систем. Влияние ИИ на формирование и проявление интеллектуальных способностей пользователя.</w:t>
      </w:r>
    </w:p>
    <w:p w14:paraId="73AEA55A" w14:textId="05A80F35" w:rsidR="00DE7504" w:rsidRP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Для участия в работе конференции необходимо </w:t>
      </w:r>
      <w:r w:rsidRPr="00DE7504">
        <w:rPr>
          <w:b/>
          <w:sz w:val="28"/>
          <w:szCs w:val="28"/>
        </w:rPr>
        <w:t>до 1</w:t>
      </w:r>
      <w:r w:rsidR="00AC5171">
        <w:rPr>
          <w:b/>
          <w:sz w:val="28"/>
          <w:szCs w:val="28"/>
        </w:rPr>
        <w:t>3</w:t>
      </w:r>
      <w:r w:rsidRPr="00DE7504">
        <w:rPr>
          <w:b/>
          <w:sz w:val="28"/>
          <w:szCs w:val="28"/>
        </w:rPr>
        <w:t xml:space="preserve"> </w:t>
      </w:r>
      <w:proofErr w:type="gramStart"/>
      <w:r w:rsidRPr="00DE7504">
        <w:rPr>
          <w:b/>
          <w:sz w:val="28"/>
          <w:szCs w:val="28"/>
        </w:rPr>
        <w:t>марта  2025</w:t>
      </w:r>
      <w:proofErr w:type="gramEnd"/>
      <w:r w:rsidRPr="00DE7504">
        <w:rPr>
          <w:b/>
          <w:sz w:val="28"/>
          <w:szCs w:val="28"/>
        </w:rPr>
        <w:t xml:space="preserve"> года </w:t>
      </w:r>
      <w:r w:rsidRPr="00DE7504">
        <w:rPr>
          <w:sz w:val="28"/>
          <w:szCs w:val="28"/>
        </w:rPr>
        <w:t xml:space="preserve">подать заявку, содержащую сведения об участнике, тему выступления, </w:t>
      </w:r>
      <w:r w:rsidRPr="00DE7504">
        <w:rPr>
          <w:sz w:val="28"/>
          <w:szCs w:val="28"/>
        </w:rPr>
        <w:lastRenderedPageBreak/>
        <w:t xml:space="preserve">ключевые слова (5–6) и аннотацию доклада (200–300 знаков) (см. Приложение)  по адресу: </w:t>
      </w:r>
      <w:proofErr w:type="spellStart"/>
      <w:r w:rsidRPr="00DE7504">
        <w:rPr>
          <w:sz w:val="28"/>
          <w:szCs w:val="28"/>
          <w:lang w:val="en-US"/>
        </w:rPr>
        <w:t>ChernenkayaSV</w:t>
      </w:r>
      <w:proofErr w:type="spellEnd"/>
      <w:r w:rsidRPr="00DE7504">
        <w:rPr>
          <w:sz w:val="28"/>
          <w:szCs w:val="28"/>
        </w:rPr>
        <w:t>@</w:t>
      </w:r>
      <w:proofErr w:type="spellStart"/>
      <w:r w:rsidRPr="00DE7504">
        <w:rPr>
          <w:sz w:val="28"/>
          <w:szCs w:val="28"/>
          <w:lang w:val="en-US"/>
        </w:rPr>
        <w:t>mgpu</w:t>
      </w:r>
      <w:proofErr w:type="spellEnd"/>
      <w:r w:rsidRPr="00DE7504">
        <w:rPr>
          <w:sz w:val="28"/>
          <w:szCs w:val="28"/>
        </w:rPr>
        <w:t>.</w:t>
      </w:r>
      <w:proofErr w:type="spellStart"/>
      <w:r w:rsidRPr="00DE7504">
        <w:rPr>
          <w:sz w:val="28"/>
          <w:szCs w:val="28"/>
          <w:lang w:val="en-US"/>
        </w:rPr>
        <w:t>ru</w:t>
      </w:r>
      <w:proofErr w:type="spellEnd"/>
      <w:r w:rsidRPr="00DE7504">
        <w:rPr>
          <w:sz w:val="28"/>
          <w:szCs w:val="28"/>
        </w:rPr>
        <w:t xml:space="preserve"> - Черненькой С.В.</w:t>
      </w:r>
    </w:p>
    <w:p w14:paraId="0E0A5BD8" w14:textId="208B53DA" w:rsidR="00DE7504" w:rsidRP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По результатам работы Конференции материалы выступлений в виде статей будут опубликованы в сборнике научных трудов конференции с занесением в базу РИНЦ. Публикация научных статей бесплатная. Статьи участников конференции ждем </w:t>
      </w:r>
      <w:r w:rsidR="00FD2923">
        <w:rPr>
          <w:b/>
          <w:sz w:val="28"/>
          <w:szCs w:val="28"/>
        </w:rPr>
        <w:t xml:space="preserve">до 31 марта </w:t>
      </w:r>
      <w:bookmarkStart w:id="0" w:name="_GoBack"/>
      <w:bookmarkEnd w:id="0"/>
      <w:r w:rsidRPr="00DE7504">
        <w:rPr>
          <w:b/>
          <w:sz w:val="28"/>
          <w:szCs w:val="28"/>
        </w:rPr>
        <w:t xml:space="preserve">2025 года </w:t>
      </w:r>
      <w:r w:rsidRPr="00DE7504">
        <w:rPr>
          <w:sz w:val="28"/>
          <w:szCs w:val="28"/>
        </w:rPr>
        <w:t xml:space="preserve">по адресу: </w:t>
      </w:r>
      <w:proofErr w:type="spellStart"/>
      <w:r w:rsidRPr="00DE7504">
        <w:rPr>
          <w:sz w:val="28"/>
          <w:szCs w:val="28"/>
          <w:lang w:val="en-US"/>
        </w:rPr>
        <w:t>ChernenkayaSV</w:t>
      </w:r>
      <w:proofErr w:type="spellEnd"/>
      <w:r w:rsidRPr="00DE7504">
        <w:rPr>
          <w:sz w:val="28"/>
          <w:szCs w:val="28"/>
        </w:rPr>
        <w:t>@</w:t>
      </w:r>
      <w:proofErr w:type="spellStart"/>
      <w:r w:rsidRPr="00DE7504">
        <w:rPr>
          <w:sz w:val="28"/>
          <w:szCs w:val="28"/>
          <w:lang w:val="en-US"/>
        </w:rPr>
        <w:t>mgpu</w:t>
      </w:r>
      <w:proofErr w:type="spellEnd"/>
      <w:r w:rsidRPr="00DE7504">
        <w:rPr>
          <w:sz w:val="28"/>
          <w:szCs w:val="28"/>
        </w:rPr>
        <w:t>.</w:t>
      </w:r>
      <w:proofErr w:type="spellStart"/>
      <w:r w:rsidRPr="00DE7504">
        <w:rPr>
          <w:sz w:val="28"/>
          <w:szCs w:val="28"/>
          <w:lang w:val="en-US"/>
        </w:rPr>
        <w:t>ru</w:t>
      </w:r>
      <w:proofErr w:type="spellEnd"/>
      <w:r w:rsidRPr="00DE7504">
        <w:rPr>
          <w:sz w:val="28"/>
          <w:szCs w:val="28"/>
        </w:rPr>
        <w:t xml:space="preserve"> - Черненькой С.В.</w:t>
      </w:r>
    </w:p>
    <w:p w14:paraId="3E72218B" w14:textId="77777777" w:rsidR="00DE7504" w:rsidRPr="00DE7504" w:rsidRDefault="00DE7504" w:rsidP="00DE7504">
      <w:pPr>
        <w:rPr>
          <w:sz w:val="28"/>
          <w:szCs w:val="28"/>
        </w:rPr>
      </w:pPr>
      <w:r w:rsidRPr="00DE7504">
        <w:rPr>
          <w:sz w:val="28"/>
          <w:szCs w:val="28"/>
        </w:rPr>
        <w:t xml:space="preserve">                                                                                     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7504" w:rsidRPr="00DE7504" w14:paraId="60846401" w14:textId="77777777" w:rsidTr="00DE750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B48D" w14:textId="77777777" w:rsidR="00DE7504" w:rsidRPr="00DE7504" w:rsidRDefault="00DE7504" w:rsidP="00DE7504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DE7504">
              <w:rPr>
                <w:b/>
                <w:bCs/>
                <w:sz w:val="28"/>
                <w:szCs w:val="28"/>
              </w:rPr>
              <w:t>Заявка</w:t>
            </w:r>
          </w:p>
        </w:tc>
      </w:tr>
      <w:tr w:rsidR="00DE7504" w:rsidRPr="00DE7504" w14:paraId="16E4444C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1F3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>ФИО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4D39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DE7504" w:rsidRPr="00DE7504" w14:paraId="0819534E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E11E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>Место учебы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0DA5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DE7504" w:rsidRPr="00DE7504" w14:paraId="0A6F3D27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7B14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DE7504"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7A65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</w:tr>
      <w:tr w:rsidR="00DE7504" w:rsidRPr="00DE7504" w14:paraId="1CA35538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A714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>Тема доклада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A706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DE7504" w:rsidRPr="00DE7504" w14:paraId="425A0FB1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61F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>Аннотация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E69F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 xml:space="preserve"> </w:t>
            </w:r>
          </w:p>
        </w:tc>
      </w:tr>
      <w:tr w:rsidR="00DE7504" w:rsidRPr="00DE7504" w14:paraId="6BBF1EC9" w14:textId="77777777" w:rsidTr="00DE75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E068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  <w:r w:rsidRPr="00DE7504">
              <w:rPr>
                <w:sz w:val="28"/>
                <w:szCs w:val="28"/>
              </w:rPr>
              <w:t>Необходимые технические средства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A6DD" w14:textId="77777777" w:rsidR="00DE7504" w:rsidRPr="00DE7504" w:rsidRDefault="00DE7504" w:rsidP="00DE750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14:paraId="1E0CEF32" w14:textId="77777777" w:rsidR="00DE7504" w:rsidRPr="00DE7504" w:rsidRDefault="00DE7504" w:rsidP="00DE7504">
      <w:pPr>
        <w:rPr>
          <w:sz w:val="28"/>
          <w:szCs w:val="28"/>
        </w:rPr>
      </w:pPr>
    </w:p>
    <w:p w14:paraId="71411379" w14:textId="77777777" w:rsidR="00DE7504" w:rsidRPr="00DE7504" w:rsidRDefault="00DE7504" w:rsidP="00DE7504">
      <w:pPr>
        <w:rPr>
          <w:sz w:val="28"/>
          <w:szCs w:val="28"/>
        </w:rPr>
      </w:pPr>
      <w:r w:rsidRPr="00DE7504">
        <w:rPr>
          <w:b/>
          <w:bCs/>
          <w:sz w:val="28"/>
          <w:szCs w:val="28"/>
        </w:rPr>
        <w:t>Требования к оформлению материалов</w:t>
      </w:r>
      <w:r w:rsidRPr="00DE7504">
        <w:rPr>
          <w:sz w:val="28"/>
          <w:szCs w:val="28"/>
        </w:rPr>
        <w:t>:</w:t>
      </w:r>
    </w:p>
    <w:p w14:paraId="1504A46C" w14:textId="77777777" w:rsid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sz w:val="28"/>
          <w:szCs w:val="28"/>
        </w:rPr>
        <w:t>Организационный комитет оставляет за собой право отбора и рецензирования материалов для включения в печатную версию этого издания. </w:t>
      </w:r>
      <w:r w:rsidRPr="00DE7504">
        <w:rPr>
          <w:b/>
          <w:bCs/>
          <w:sz w:val="28"/>
          <w:szCs w:val="28"/>
        </w:rPr>
        <w:t>Просим обратить внимание,</w:t>
      </w:r>
      <w:r w:rsidRPr="00DE7504">
        <w:rPr>
          <w:sz w:val="28"/>
          <w:szCs w:val="28"/>
        </w:rPr>
        <w:t> что оргкомитет оставляет за собой право не принимать для публикации в сборник статьи, оформленные ненадлежащим образом</w:t>
      </w:r>
      <w:r w:rsidRPr="00DE7504">
        <w:rPr>
          <w:b/>
          <w:bCs/>
          <w:sz w:val="28"/>
          <w:szCs w:val="28"/>
        </w:rPr>
        <w:t>. </w:t>
      </w:r>
      <w:r w:rsidRPr="00DE7504">
        <w:rPr>
          <w:sz w:val="28"/>
          <w:szCs w:val="28"/>
        </w:rPr>
        <w:t>Материалы реферативного характера, не содержащие элементов самостоятельного исследования и новизны к публикации, не принимаются. </w:t>
      </w:r>
    </w:p>
    <w:p w14:paraId="37202BFE" w14:textId="19C0D052" w:rsidR="00DE7504" w:rsidRPr="00DE7504" w:rsidRDefault="00DE7504" w:rsidP="00DE7504">
      <w:pPr>
        <w:ind w:firstLine="709"/>
        <w:contextualSpacing/>
        <w:jc w:val="both"/>
        <w:rPr>
          <w:sz w:val="28"/>
          <w:szCs w:val="28"/>
        </w:rPr>
      </w:pPr>
      <w:r w:rsidRPr="00DE7504">
        <w:rPr>
          <w:sz w:val="28"/>
          <w:szCs w:val="28"/>
        </w:rPr>
        <w:t>При оформлении публикации просим придерживаться следующих требований: </w:t>
      </w:r>
    </w:p>
    <w:p w14:paraId="68447AF3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1. Ориентировочный объем статьи — около 20 тыс. знаков с пробелами, включая все метаданные (аннотацию, ключевые слова, библиографический список и др.). Объем публикации не может быть менее 8 тыс. знаков с пробелами). </w:t>
      </w:r>
    </w:p>
    <w:p w14:paraId="262DA7A7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2. Сноски на источники и литературу встраиваются непосредственно в текст и оформляются следующим образом:</w:t>
      </w:r>
    </w:p>
    <w:p w14:paraId="4085704F" w14:textId="5740A112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— в тексте в квадратных скобках указывается порядковый номер издания в списке литературы и, если необходимо, указываются страницы: [10, с. 5–7]. </w:t>
      </w:r>
      <w:r w:rsidRPr="00DE7504">
        <w:rPr>
          <w:sz w:val="28"/>
          <w:szCs w:val="28"/>
        </w:rPr>
        <w:lastRenderedPageBreak/>
        <w:t xml:space="preserve">Постраничные и концевые сноски (из автоматического набора текстовых редакторов) не допускаются. </w:t>
      </w:r>
    </w:p>
    <w:p w14:paraId="5A325AD8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— издания и описание источников в списке источников и литературы нумеруется в алфавитном порядке использования в тексте.</w:t>
      </w:r>
    </w:p>
    <w:p w14:paraId="58D3E9A2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3.  Текст необходимо набирать с помощью редактора MS </w:t>
      </w:r>
      <w:proofErr w:type="spellStart"/>
      <w:r w:rsidRPr="00DE7504">
        <w:rPr>
          <w:sz w:val="28"/>
          <w:szCs w:val="28"/>
        </w:rPr>
        <w:t>Word</w:t>
      </w:r>
      <w:proofErr w:type="spellEnd"/>
      <w:r w:rsidRPr="00DE7504">
        <w:rPr>
          <w:sz w:val="28"/>
          <w:szCs w:val="28"/>
        </w:rPr>
        <w:t xml:space="preserve"> шрифтом </w:t>
      </w:r>
      <w:proofErr w:type="spellStart"/>
      <w:r w:rsidRPr="00DE7504">
        <w:rPr>
          <w:sz w:val="28"/>
          <w:szCs w:val="28"/>
        </w:rPr>
        <w:t>Times</w:t>
      </w:r>
      <w:proofErr w:type="spellEnd"/>
      <w:r w:rsidRPr="00DE7504">
        <w:rPr>
          <w:sz w:val="28"/>
          <w:szCs w:val="28"/>
        </w:rPr>
        <w:t xml:space="preserve"> </w:t>
      </w:r>
      <w:proofErr w:type="spellStart"/>
      <w:r w:rsidRPr="00DE7504">
        <w:rPr>
          <w:sz w:val="28"/>
          <w:szCs w:val="28"/>
        </w:rPr>
        <w:t>New</w:t>
      </w:r>
      <w:proofErr w:type="spellEnd"/>
      <w:r w:rsidRPr="00DE7504">
        <w:rPr>
          <w:sz w:val="28"/>
          <w:szCs w:val="28"/>
        </w:rPr>
        <w:t xml:space="preserve"> </w:t>
      </w:r>
      <w:proofErr w:type="spellStart"/>
      <w:r w:rsidRPr="00DE7504">
        <w:rPr>
          <w:sz w:val="28"/>
          <w:szCs w:val="28"/>
        </w:rPr>
        <w:t>Roman</w:t>
      </w:r>
      <w:proofErr w:type="spellEnd"/>
      <w:r w:rsidRPr="00DE7504">
        <w:rPr>
          <w:sz w:val="28"/>
          <w:szCs w:val="28"/>
        </w:rPr>
        <w:t xml:space="preserve">. Размер шрифта 14, межстрочный интервал полуторный. </w:t>
      </w:r>
    </w:p>
    <w:p w14:paraId="54B6CB89" w14:textId="65701A63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4. В начале текста в верхнем левом углу помещается УДК (шифр указывает автор;  Справочник  по УДК:  </w:t>
      </w:r>
      <w:hyperlink r:id="rId7" w:history="1">
        <w:r w:rsidRPr="00DE7504">
          <w:rPr>
            <w:rStyle w:val="a4"/>
            <w:sz w:val="28"/>
            <w:szCs w:val="28"/>
          </w:rPr>
          <w:t>https://teacode.com/online/udc/</w:t>
        </w:r>
      </w:hyperlink>
      <w:r w:rsidRPr="00DE7504">
        <w:rPr>
          <w:sz w:val="28"/>
          <w:szCs w:val="28"/>
        </w:rPr>
        <w:t>), на  следующей строке в правом углу – инициалы (через пробел) и фамилия  автора (полужирный шрифт), в следующей строке  –  название  организации,  затем пропуск строки. Заголовок статьи выделяется прописным полужирным шрифтом и выравнивается по центру; переносы слов в заголовке не допускаются; точка в конце строки не ставится. Далее следует аннотация (не менее 70 слов) и ключевые слова (5-7).   Между заголовком и основным текстом – пропуск строки. Возможно использование курсива для выделения ключевых позиций текста статьи. Рисунки выравниваются по центру страницы. </w:t>
      </w:r>
    </w:p>
    <w:p w14:paraId="03AB1EE4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5. Таблицы и рисунки </w:t>
      </w:r>
      <w:proofErr w:type="gramStart"/>
      <w:r w:rsidRPr="00DE7504">
        <w:rPr>
          <w:sz w:val="28"/>
          <w:szCs w:val="28"/>
        </w:rPr>
        <w:t>размещаются  по</w:t>
      </w:r>
      <w:proofErr w:type="gramEnd"/>
      <w:r w:rsidRPr="00DE7504">
        <w:rPr>
          <w:sz w:val="28"/>
          <w:szCs w:val="28"/>
        </w:rPr>
        <w:t>  тексту  статьи  (не  выносятся  в приложение).   В тексте обязательно должны быть ссылки на рисунки и таблицы. Все рисунки и таблицы должны иметь номер и название. Название таблицы приводится над табличным полем слева, а рисунка – под рисунком по центру. Таблицы также подаются в виде отдельных файлов. Изображения, представленные к публикации, должны иметь ссылки на открытые источники информации либо подтверждение на право воспроизведения со стороны правообладателей. </w:t>
      </w:r>
    </w:p>
    <w:p w14:paraId="7EB789FB" w14:textId="5E876C3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6. Библиографический список (список литературы и источников) оформляется в соответствии с ГОСТ Р 7.0.5-2008.  (Обязательно указание места издания, названия издательства, страниц). Источники на иностранных языках приводятся после отечественных.  Фамилии иностранных авторов даются в оригинальной транскрипции. </w:t>
      </w:r>
    </w:p>
    <w:p w14:paraId="62355892" w14:textId="77777777" w:rsidR="00DE7504" w:rsidRPr="00DE7504" w:rsidRDefault="00DE7504" w:rsidP="00DE7504">
      <w:pPr>
        <w:jc w:val="both"/>
        <w:rPr>
          <w:b/>
          <w:bCs/>
          <w:sz w:val="28"/>
          <w:szCs w:val="28"/>
        </w:rPr>
      </w:pPr>
      <w:r w:rsidRPr="00DE7504">
        <w:rPr>
          <w:b/>
          <w:bCs/>
          <w:sz w:val="28"/>
          <w:szCs w:val="28"/>
        </w:rPr>
        <w:t xml:space="preserve">Список источников и литературы </w:t>
      </w:r>
    </w:p>
    <w:p w14:paraId="3393B294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 xml:space="preserve">1. </w:t>
      </w:r>
      <w:proofErr w:type="spellStart"/>
      <w:r w:rsidRPr="00DE7504">
        <w:rPr>
          <w:sz w:val="28"/>
          <w:szCs w:val="28"/>
        </w:rPr>
        <w:t>Бадинов</w:t>
      </w:r>
      <w:proofErr w:type="spellEnd"/>
      <w:r w:rsidRPr="00DE7504">
        <w:rPr>
          <w:sz w:val="28"/>
          <w:szCs w:val="28"/>
        </w:rPr>
        <w:t xml:space="preserve"> Н. П. Городское пространство. Пермь: Пушка, 2022. 160 с. </w:t>
      </w:r>
    </w:p>
    <w:p w14:paraId="4436B3ED" w14:textId="77777777" w:rsidR="00DE7504" w:rsidRPr="00DE7504" w:rsidRDefault="00DE7504" w:rsidP="00DE7504">
      <w:pPr>
        <w:jc w:val="both"/>
        <w:rPr>
          <w:sz w:val="28"/>
          <w:szCs w:val="28"/>
        </w:rPr>
      </w:pPr>
      <w:r w:rsidRPr="00DE7504">
        <w:rPr>
          <w:sz w:val="28"/>
          <w:szCs w:val="28"/>
        </w:rPr>
        <w:t>2. Банникова Е. В. Повседневная жизнь уральского купечества в первой половине XIX века. Оренбург: ГУ «РЦРО», 2010. 206 с.</w:t>
      </w:r>
    </w:p>
    <w:p w14:paraId="01A174FA" w14:textId="77777777" w:rsidR="00DE7504" w:rsidRPr="00DE7504" w:rsidRDefault="00DE7504" w:rsidP="00DE7504">
      <w:pPr>
        <w:jc w:val="both"/>
        <w:rPr>
          <w:sz w:val="28"/>
          <w:szCs w:val="28"/>
        </w:rPr>
      </w:pPr>
    </w:p>
    <w:p w14:paraId="2A11412F" w14:textId="77777777" w:rsidR="00DE7504" w:rsidRPr="00DE7504" w:rsidRDefault="00DE7504" w:rsidP="00DE7504">
      <w:pPr>
        <w:jc w:val="both"/>
        <w:rPr>
          <w:sz w:val="28"/>
          <w:szCs w:val="28"/>
        </w:rPr>
      </w:pPr>
    </w:p>
    <w:p w14:paraId="72FE81E9" w14:textId="77777777" w:rsidR="00DE7504" w:rsidRPr="00DE7504" w:rsidRDefault="00DE7504" w:rsidP="00DE7504">
      <w:pPr>
        <w:jc w:val="both"/>
        <w:rPr>
          <w:sz w:val="28"/>
          <w:szCs w:val="28"/>
        </w:rPr>
      </w:pPr>
    </w:p>
    <w:p w14:paraId="53BCEDDC" w14:textId="77777777" w:rsidR="00EF38D2" w:rsidRPr="00DE7504" w:rsidRDefault="00EF38D2">
      <w:pPr>
        <w:rPr>
          <w:sz w:val="28"/>
          <w:szCs w:val="28"/>
        </w:rPr>
      </w:pPr>
    </w:p>
    <w:sectPr w:rsidR="00EF38D2" w:rsidRPr="00DE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BB8"/>
    <w:multiLevelType w:val="hybridMultilevel"/>
    <w:tmpl w:val="1BCE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3677"/>
    <w:multiLevelType w:val="hybridMultilevel"/>
    <w:tmpl w:val="6F684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F"/>
    <w:rsid w:val="00392D1E"/>
    <w:rsid w:val="00522731"/>
    <w:rsid w:val="00A31BC5"/>
    <w:rsid w:val="00AC5171"/>
    <w:rsid w:val="00DE7504"/>
    <w:rsid w:val="00EF3464"/>
    <w:rsid w:val="00EF38D2"/>
    <w:rsid w:val="00FD2923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BA11"/>
  <w15:chartTrackingRefBased/>
  <w15:docId w15:val="{AB90573A-6431-41E4-978C-B406BBCB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5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50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Гребенщиков Юрий Юрьевич</cp:lastModifiedBy>
  <cp:revision>4</cp:revision>
  <dcterms:created xsi:type="dcterms:W3CDTF">2024-10-04T06:32:00Z</dcterms:created>
  <dcterms:modified xsi:type="dcterms:W3CDTF">2025-03-04T11:35:00Z</dcterms:modified>
</cp:coreProperties>
</file>