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/>
        <w:drawing>
          <wp:inline distB="0" distT="0" distL="0" distR="0">
            <wp:extent cx="2752725" cy="1657350"/>
            <wp:effectExtent b="0" l="0" r="0" t="0"/>
            <wp:docPr descr="Похожее изображение" id="1" name="image1.png"/>
            <a:graphic>
              <a:graphicData uri="http://schemas.openxmlformats.org/drawingml/2006/picture">
                <pic:pic>
                  <pic:nvPicPr>
                    <pic:cNvPr descr="Похожее изображение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ГОСУДАРСТВЕННОЕ АВТОНОМНОЕ ОБРАЗОВАТЕЛЬНОЕ УЧРЕЖДЕНИЕ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ВЫСШЕГО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«МОСКОВСКИЙ ГОРОДСКОЙ ПЕДАГОГИЧЕСКИЙ УНИВЕРСИТЕТ»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ИНСТИТУТ   ГУМАНИТАРНЫХ   НАУК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ДЕПАРТАМЕНТ ФИЛОЛОГИИ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Москва,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2-ой Сельскохозяйственный проезд, д.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ИНФОРМАЦИОННОЕ ПИСЬМО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проведении IX Межвузовской студенческой научно-практической конференции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«ЯЗЫК ТЕКУЩЕГО МОМЕНТА» 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УВАЖАЕМЫЕ КОЛЛЕГИ!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ind w:right="29" w:firstLine="73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Департамент филологии Института гуманитарных наук</w:t>
            </w:r>
          </w:p>
          <w:p w:rsidR="00000000" w:rsidDel="00000000" w:rsidP="00000000" w:rsidRDefault="00000000" w:rsidRPr="00000000" w14:paraId="00000015">
            <w:pPr>
              <w:shd w:fill="ffffff" w:val="clear"/>
              <w:ind w:right="29" w:firstLine="73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ГАОУ ВО «Московский городской педагогический университет»</w:t>
            </w:r>
          </w:p>
          <w:p w:rsidR="00000000" w:rsidDel="00000000" w:rsidP="00000000" w:rsidRDefault="00000000" w:rsidRPr="00000000" w14:paraId="00000016">
            <w:pPr>
              <w:shd w:fill="ffffff" w:val="clear"/>
              <w:ind w:right="29" w:firstLine="73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приглашает вас принять участие в </w:t>
            </w:r>
          </w:p>
          <w:p w:rsidR="00000000" w:rsidDel="00000000" w:rsidP="00000000" w:rsidRDefault="00000000" w:rsidRPr="00000000" w14:paraId="00000017">
            <w:pPr>
              <w:shd w:fill="ffffff" w:val="clear"/>
              <w:ind w:right="29" w:firstLine="735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IX МЕЖВУЗОВСКОЙ СТУДЕНЧЕСКОЙ НАУЧНО-ПРАКТИЧЕСКОЙ КОНФЕРЕНЦИИ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ind w:right="29" w:firstLine="735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«ЯЗЫК ТЕКУЩЕГО МОМЕНТА»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ind w:right="29" w:firstLine="735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28.0" w:type="dxa"/>
        <w:jc w:val="left"/>
        <w:tblInd w:w="3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8"/>
        <w:tblGridChange w:id="0">
          <w:tblGrid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29"/>
              <w:jc w:val="both"/>
              <w:rPr>
                <w:rFonts w:ascii="Georgia" w:cs="Georgia" w:eastAsia="Georgia" w:hAnsi="Georgia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sz w:val="32"/>
                <w:szCs w:val="32"/>
                <w:rtl w:val="0"/>
              </w:rPr>
              <w:t xml:space="preserve">            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22 апреля 2026</w:t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ОСНОВНЫЕ НАПРАВЛЕНИЯ КОНФЕРЕНЦИИ</w:t>
      </w:r>
    </w:p>
    <w:p w:rsidR="00000000" w:rsidDel="00000000" w:rsidP="00000000" w:rsidRDefault="00000000" w:rsidRPr="00000000" w14:paraId="00000021">
      <w:pPr>
        <w:shd w:fill="ffffff" w:val="clear"/>
        <w:ind w:right="29" w:firstLine="7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55" w:right="2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ГУМАНИТАРИСТИКА В МУЛЬТИДИСЦИПЛИНАРНОЙ НАУЧНОЙ ПАРАДИГМЕ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55" w:right="2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ЧЕЛОВЕК В ИНФОРМАЦИОННОМ ПРОСТРАНСТВЕ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55" w:right="29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ОБРАЗОВАТЕЛЬНЫЙ ПРОЦЕСС В ЭПОХУ ЦИФРОВИЗАЦИИ.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right="29" w:firstLine="7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right="29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b w:val="1"/>
          <w:bCs w:val="1"/>
          <w:rtl w:val="0"/>
        </w:rPr>
        <w:t xml:space="preserve">ТЕМАТИКА КОНФЕРЕНЦИИ</w:t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color w:val="000000"/>
        </w:rPr>
      </w:pPr>
      <w:bookmarkStart w:colFirst="0" w:colLast="0" w:name="_e82ztyiq0svw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Язык в современной геополитической ситуации: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тенденции взаимодействия языков;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языковые заимствования;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государственная языковая политика.</w:t>
      </w:r>
    </w:p>
    <w:p w:rsidR="00000000" w:rsidDel="00000000" w:rsidP="00000000" w:rsidRDefault="00000000" w:rsidRPr="00000000" w14:paraId="0000002C">
      <w:pPr>
        <w:widowControl w:val="0"/>
        <w:shd w:fill="ffffff" w:val="clear"/>
        <w:tabs>
          <w:tab w:val="left" w:leader="none" w:pos="1155"/>
        </w:tabs>
        <w:ind w:left="178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b w:val="1"/>
          <w:bCs w:val="1"/>
          <w:color w:val="000000"/>
        </w:rPr>
      </w:pPr>
      <w:bookmarkStart w:colFirst="0" w:colLast="0" w:name="_mbhe9kxhrymy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Язык в социокультурной парадигме: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язык и историческая память народа;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ценностные ориентиры современного общества в языковой экспликации;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язык и самоидентификация человека;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явление массовой культуры: тенденции снижения языкового регистра. </w:t>
      </w:r>
    </w:p>
    <w:p w:rsidR="00000000" w:rsidDel="00000000" w:rsidP="00000000" w:rsidRDefault="00000000" w:rsidRPr="00000000" w14:paraId="00000032">
      <w:pPr>
        <w:widowControl w:val="0"/>
        <w:shd w:fill="ffffff" w:val="clear"/>
        <w:tabs>
          <w:tab w:val="left" w:leader="none" w:pos="1155"/>
        </w:tabs>
        <w:ind w:left="178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Язык и сознание. Семиотическое пространство вербальной и невербальной коммуникации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специфика художественного мироосмысления;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неклассические нарративные техники;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способы расширения смыслового содержания текста (интертекстуальность, аллюзийность);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художественный текст в перцепции и интерпретативных практиках;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многомерность коммуникационного пространства: поликодовость и меметика;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символизация объекта и вербализация символа;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семиотические коды культуры в языковом воплощении.</w:t>
      </w:r>
    </w:p>
    <w:p w:rsidR="00000000" w:rsidDel="00000000" w:rsidP="00000000" w:rsidRDefault="00000000" w:rsidRPr="00000000" w14:paraId="0000003B">
      <w:pPr>
        <w:widowControl w:val="0"/>
        <w:shd w:fill="ffffff" w:val="clear"/>
        <w:tabs>
          <w:tab w:val="left" w:leader="none" w:pos="1155"/>
        </w:tabs>
        <w:ind w:left="1789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Язык дискурсивных практик: модальности, дескрипции, оценки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специфика языка политического дискурса;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функциональное предназначение медиадискурса в информационном пространстве;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академический дискурс: системообразующие признаки и актуализационные особенности;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образовательный дискурс в ракурсе лингводидактики.</w:t>
      </w:r>
    </w:p>
    <w:p w:rsidR="00000000" w:rsidDel="00000000" w:rsidP="00000000" w:rsidRDefault="00000000" w:rsidRPr="00000000" w14:paraId="00000041">
      <w:pPr>
        <w:widowControl w:val="0"/>
        <w:shd w:fill="ffffff" w:val="clear"/>
        <w:tabs>
          <w:tab w:val="left" w:leader="none" w:pos="1155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Язык в образовательной среде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типы образовательных программ;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инновационные процессы на разных уровнях гуманитарного образования;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специфика обучения языку и изучения литературы в эпоху цифровизации: </w:t>
      </w:r>
      <w:r w:rsidDel="00000000" w:rsidR="00000000" w:rsidRPr="00000000">
        <w:rPr>
          <w:sz w:val="24"/>
          <w:szCs w:val="24"/>
          <w:rtl w:val="0"/>
        </w:rPr>
        <w:t xml:space="preserve">организационные структуры, регламенты, ролевые модели.</w:t>
      </w:r>
    </w:p>
    <w:p w:rsidR="00000000" w:rsidDel="00000000" w:rsidP="00000000" w:rsidRDefault="00000000" w:rsidRPr="00000000" w14:paraId="00000046">
      <w:pPr>
        <w:widowControl w:val="0"/>
        <w:shd w:fill="ffffff" w:val="clear"/>
        <w:tabs>
          <w:tab w:val="left" w:leader="none" w:pos="11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hd w:fill="ffffff" w:val="clear"/>
        <w:tabs>
          <w:tab w:val="left" w:leader="none" w:pos="1155"/>
        </w:tabs>
        <w:ind w:left="1429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Креативность языка и язык художественного дискурса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виды художественного дискурса;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способы выражения креативности языка;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shd w:fill="ffffff" w:val="clear"/>
        <w:tabs>
          <w:tab w:val="left" w:leader="none" w:pos="1155"/>
        </w:tabs>
        <w:ind w:left="1789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реализация языковых средств в художественном дискурсе.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hd w:fill="ffffff" w:val="clear"/>
        <w:tabs>
          <w:tab w:val="left" w:leader="none" w:pos="11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hd w:fill="ffffff" w:val="clear"/>
        <w:tabs>
          <w:tab w:val="left" w:leader="none" w:pos="115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УСЛОВИЯ УЧАСТИЯ В РАБОТЕ КОНФЕРЕНЦИИ</w:t>
      </w:r>
    </w:p>
    <w:p w:rsidR="00000000" w:rsidDel="00000000" w:rsidP="00000000" w:rsidRDefault="00000000" w:rsidRPr="00000000" w14:paraId="0000004E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ind w:left="708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конференции необходимо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до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7 апреля 2026 г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заполнить форму и прислать тезисы выступления, оформленные в соответствии с требованиями. Тезисы нужно подписать в формате «Петров_тезисы».</w:t>
      </w:r>
    </w:p>
    <w:p w:rsidR="00000000" w:rsidDel="00000000" w:rsidP="00000000" w:rsidRDefault="00000000" w:rsidRPr="00000000" w14:paraId="00000050">
      <w:pPr>
        <w:shd w:fill="ffffff" w:val="clear"/>
        <w:ind w:left="708" w:firstLine="708"/>
        <w:rPr>
          <w:color w:val="ff0000"/>
          <w:sz w:val="24"/>
          <w:szCs w:val="24"/>
        </w:rPr>
      </w:pP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https://forms.gle/D7qbDG7XNYpJcKAL8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ind w:left="708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конференции бесплатное. По итогам конференции планируется выпуск электронного сборника с материалами конференции.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Обязательное условие публикации – подпись-разрешение научного руководителя, который несет ответственность за грамотность и правильность оформления. </w:t>
      </w:r>
      <w:r w:rsidDel="00000000" w:rsidR="00000000" w:rsidRPr="00000000">
        <w:rPr>
          <w:sz w:val="24"/>
          <w:szCs w:val="24"/>
          <w:rtl w:val="0"/>
        </w:rPr>
        <w:t xml:space="preserve">Для подтверждения необходимо принести на конференцию распечатанные тезисы с подписью и сдать модератору своей секции.</w:t>
      </w:r>
    </w:p>
    <w:p w:rsidR="00000000" w:rsidDel="00000000" w:rsidP="00000000" w:rsidRDefault="00000000" w:rsidRPr="00000000" w14:paraId="00000052">
      <w:pPr>
        <w:shd w:fill="ffffff" w:val="clear"/>
        <w:ind w:left="708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Автор несет ответственность за корректность цитат и данных. Оргкомитет вправе отказать в публикации тезисов, если не соблюдены требования к оформлению, и оригинальность статьи не превышает 70%. </w:t>
      </w:r>
    </w:p>
    <w:p w:rsidR="00000000" w:rsidDel="00000000" w:rsidP="00000000" w:rsidRDefault="00000000" w:rsidRPr="00000000" w14:paraId="00000053">
      <w:pPr>
        <w:shd w:fill="ffffff" w:val="clear"/>
        <w:ind w:left="708" w:firstLine="708"/>
        <w:jc w:val="both"/>
        <w:rPr>
          <w:b w:val="1"/>
          <w:bCs w:val="1"/>
          <w:sz w:val="24"/>
          <w:szCs w:val="24"/>
          <w:highlight w:val="yellow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Тезисы, оформленные не по правилам, приниматься не будут.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ОФОРМЛЕНИЮ ТЕЗИСОВ</w:t>
      </w:r>
    </w:p>
    <w:p w:rsidR="00000000" w:rsidDel="00000000" w:rsidP="00000000" w:rsidRDefault="00000000" w:rsidRPr="00000000" w14:paraId="00000056">
      <w:pPr>
        <w:shd w:fill="ffffff" w:val="clear"/>
        <w:ind w:left="708" w:firstLine="0"/>
        <w:jc w:val="both"/>
        <w:rPr>
          <w:b w:val="1"/>
          <w:bCs w:val="1"/>
          <w:color w:val="0526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Объём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материала не должен превышать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4000 знаков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(без пробелов)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Формат: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текстовый редактор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 by Windows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шрифт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Times New Roman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кегль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интервал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одинарный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отступ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1,25 (автоматический)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выравнивание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ширине, без переносов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поля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2 см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нумерация страниц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178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выделяются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курсивом.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6" w:right="0" w:hanging="357.0000000000001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 и инициалы автора, страна, город и название образовательного учреждения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верхнем правом углу (выравнивание по правому краю)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6" w:right="0" w:hanging="357.0000000000001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Заголовок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прописными буквами, полужирное начертание, выравнивание по центру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6" w:right="0" w:hanging="357.0000000000001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слова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4-8 слов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курсивом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1 интервал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6" w:right="0" w:hanging="357.0000000000001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ссылки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тексту на соответствующие источники оформляются в квадратных скобках: [Петров 2015, 37]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6" w:right="0" w:hanging="357.0000000000001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используемых источников дается в алфавитном порядке в конце материала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42"/>
        </w:tabs>
        <w:ind w:left="360" w:firstLine="0"/>
        <w:jc w:val="both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6A">
      <w:pPr>
        <w:tabs>
          <w:tab w:val="left" w:leader="none" w:pos="142"/>
        </w:tabs>
        <w:ind w:left="360" w:firstLine="0"/>
        <w:jc w:val="both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Пример оформления тезисов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</w:p>
    <w:tbl>
      <w:tblPr>
        <w:tblStyle w:val="Table3"/>
        <w:tblW w:w="9923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142"/>
              </w:tabs>
              <w:ind w:left="360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Петрова И.Н., аспирант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142"/>
              </w:tabs>
              <w:ind w:left="360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Волгоград, Россия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142"/>
              </w:tabs>
              <w:ind w:left="360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ВГСПГУ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142"/>
              </w:tabs>
              <w:ind w:left="360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142"/>
              </w:tabs>
              <w:ind w:left="36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БИЛИНГВИЗМ В ХУДОЖЕСТВЕННОМ ДИСКУРСЕ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142"/>
              </w:tabs>
              <w:ind w:left="36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(на примере романа П. Мейла «Год в Провансе»)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42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142"/>
              </w:tabs>
              <w:ind w:left="709" w:firstLine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Ключевые слова: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литературно-художественный билингвизм, функции иноязычных вкраплений, идиостиль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142"/>
              </w:tabs>
              <w:ind w:firstLine="7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142"/>
              </w:tabs>
              <w:ind w:firstLine="70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Текст ….. текст …. Текст 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42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Текст … текст ….. текст [Гунько 2019, 127] текст ….. текст ….. [Щирова, Гончарова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142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2007, 241] текст … текст…..текст …. текст…. [Уфимцева 1968, 83] … текст … 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142"/>
              </w:tabs>
              <w:ind w:left="851" w:hanging="85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142"/>
              </w:tabs>
              <w:ind w:left="851" w:hanging="85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Литература: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Гунько Л.А. Основные прагматические функции переключения кодов в билингвальной речи персонажей // Вестник Череповецкого государственного университета. 2019. №2.  С. 127-133.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Уфимцева А.А. Слово в лексико-семантической системе языка. М.: Наука, 1968. 272 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080" w:right="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Щирова И.А. Гончарова Е.А. Многомерность текста: понимание и интерпретация.  СПб.: ООО «Книжный Дом», 2007. 472 с.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2"/>
              </w:tabs>
              <w:spacing w:after="0" w:before="0" w:line="240" w:lineRule="auto"/>
              <w:ind w:left="108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Харченко В.К. Кладбищенская лингвистика // Уральский филологический вестник. Серия: Язык. Система. Личность: лингвистика креатива. 2019. №2. URL: https://cyberleninka.ru/article/n/kladbischenskaya-lingvistika (дата обращения: 19.01.2021).</w:t>
            </w:r>
          </w:p>
        </w:tc>
      </w:tr>
    </w:tbl>
    <w:p w:rsidR="00000000" w:rsidDel="00000000" w:rsidP="00000000" w:rsidRDefault="00000000" w:rsidRPr="00000000" w14:paraId="0000007E">
      <w:pPr>
        <w:shd w:fill="ffffff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ПРЕДВАРИТЕЛЬНЫЙ РЕГЛАМЕНТ РАБОТЫ КОНФЕРЕНЦИИ</w:t>
      </w:r>
    </w:p>
    <w:p w:rsidR="00000000" w:rsidDel="00000000" w:rsidP="00000000" w:rsidRDefault="00000000" w:rsidRPr="00000000" w14:paraId="00000081">
      <w:pPr>
        <w:shd w:fill="ffffff" w:val="clear"/>
        <w:ind w:left="70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80.0" w:type="dxa"/>
        <w:jc w:val="left"/>
        <w:tblInd w:w="6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7478"/>
        <w:tblGridChange w:id="0">
          <w:tblGrid>
            <w:gridCol w:w="2802"/>
            <w:gridCol w:w="747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Место проведения конференции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Мероприятии состоится по адресу: Москва, 2-й Сельскохозяйственный проезд, 4, корпус 3.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(проезд автобусами 33, 603 от ст. метро «Ботанический сад» до остановки 2-й Сельскохозяйственный проезд).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10:00 – 10:30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Регистрация участников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10:30 – 11:30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Открытие конференции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11:30 – 13:30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Секционные заседания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13:30 – 14:30 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Перерыв на обед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14:30 – 16:30 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Секционные заседания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Регламент выступления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5-7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минут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ОРГКОМИТЕТ КОНФЕРЕНЦИИ:</w:t>
      </w:r>
    </w:p>
    <w:p w:rsidR="00000000" w:rsidDel="00000000" w:rsidP="00000000" w:rsidRDefault="00000000" w:rsidRPr="00000000" w14:paraId="00000099">
      <w:pPr>
        <w:ind w:left="7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Д.ф.н., проф. Иванова Е.Р.</w:t>
      </w:r>
    </w:p>
    <w:p w:rsidR="00000000" w:rsidDel="00000000" w:rsidP="00000000" w:rsidRDefault="00000000" w:rsidRPr="00000000" w14:paraId="0000009A">
      <w:pPr>
        <w:ind w:left="708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К.ф.н., доц. </w:t>
      </w:r>
      <w:r w:rsidDel="00000000" w:rsidR="00000000" w:rsidRPr="00000000">
        <w:rPr>
          <w:sz w:val="24"/>
          <w:szCs w:val="24"/>
          <w:rtl w:val="0"/>
        </w:rPr>
        <w:t xml:space="preserve">Кузнецова Н.А. </w:t>
      </w:r>
    </w:p>
    <w:p w:rsidR="00000000" w:rsidDel="00000000" w:rsidP="00000000" w:rsidRDefault="00000000" w:rsidRPr="00000000" w14:paraId="0000009B">
      <w:pPr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К.ф.н., старш. пр. Стрелкова А.Ю. </w:t>
      </w:r>
    </w:p>
    <w:p w:rsidR="00000000" w:rsidDel="00000000" w:rsidP="00000000" w:rsidRDefault="00000000" w:rsidRPr="00000000" w14:paraId="0000009C">
      <w:pPr>
        <w:ind w:left="70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По всем вопросам обращаться к Ивановой Елене Радифовне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ivanova-656@mgpu.ru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2">
    <w:lvl w:ilvl="0">
      <w:start w:val="16"/>
      <w:numFmt w:val="bullet"/>
      <w:lvlText w:val="●"/>
      <w:lvlJc w:val="left"/>
      <w:pPr>
        <w:ind w:left="178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1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D7qbDG7XNYpJcKAL8" TargetMode="External"/><Relationship Id="rId8" Type="http://schemas.openxmlformats.org/officeDocument/2006/relationships/hyperlink" Target="mailto:ivanova-656@mgpu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